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7FF1D" w14:textId="77777777" w:rsidR="0003663B" w:rsidRPr="008E1899" w:rsidRDefault="00000000">
      <w:pPr>
        <w:spacing w:before="1000"/>
        <w:jc w:val="center"/>
        <w:rPr>
          <w:rFonts w:asciiTheme="majorHAnsi" w:hAnsiTheme="majorHAnsi" w:cstheme="majorHAnsi"/>
        </w:rPr>
      </w:pPr>
      <w:r w:rsidRPr="008E1899">
        <w:rPr>
          <w:rFonts w:asciiTheme="majorHAnsi" w:hAnsiTheme="majorHAnsi" w:cstheme="majorHAnsi"/>
          <w:b/>
          <w:color w:val="1C6B75"/>
          <w:sz w:val="22"/>
        </w:rPr>
        <w:t>RESOURCE GUIDE</w:t>
      </w:r>
    </w:p>
    <w:p w14:paraId="6242C257" w14:textId="77777777" w:rsidR="0003663B" w:rsidRPr="008E1899" w:rsidRDefault="00000000">
      <w:pPr>
        <w:pStyle w:val="Title"/>
        <w:jc w:val="center"/>
        <w:rPr>
          <w:rFonts w:cstheme="majorHAnsi"/>
        </w:rPr>
      </w:pPr>
      <w:r w:rsidRPr="008E1899">
        <w:rPr>
          <w:rFonts w:cstheme="majorHAnsi"/>
        </w:rPr>
        <w:t>Responding to CoARC</w:t>
      </w:r>
      <w:r w:rsidRPr="008E1899">
        <w:rPr>
          <w:rFonts w:cstheme="majorHAnsi"/>
        </w:rPr>
        <w:br/>
        <w:t>Subthreshold Programmatic Outcomes</w:t>
      </w:r>
    </w:p>
    <w:p w14:paraId="36267666" w14:textId="77777777" w:rsidR="0003663B" w:rsidRPr="008E1899" w:rsidRDefault="00000000">
      <w:pPr>
        <w:jc w:val="center"/>
        <w:rPr>
          <w:rFonts w:asciiTheme="majorHAnsi" w:hAnsiTheme="majorHAnsi" w:cstheme="majorHAnsi"/>
        </w:rPr>
      </w:pPr>
      <w:r w:rsidRPr="008E1899">
        <w:rPr>
          <w:rFonts w:asciiTheme="majorHAnsi" w:hAnsiTheme="majorHAnsi" w:cstheme="majorHAnsi"/>
          <w:color w:val="1C6B75"/>
          <w:sz w:val="30"/>
        </w:rPr>
        <w:t>Practical guidance for Program Directors</w:t>
      </w:r>
    </w:p>
    <w:p w14:paraId="7C98E504" w14:textId="77777777" w:rsidR="0003663B" w:rsidRPr="008E1899" w:rsidRDefault="0003663B">
      <w:pPr>
        <w:rPr>
          <w:rFonts w:asciiTheme="majorHAnsi" w:hAnsiTheme="majorHAnsi" w:cstheme="majorHAnsi"/>
        </w:rPr>
      </w:pPr>
    </w:p>
    <w:tbl>
      <w:tblPr>
        <w:tblW w:w="0" w:type="auto"/>
        <w:jc w:val="center"/>
        <w:tblLayout w:type="fixed"/>
        <w:tblLook w:val="04A0" w:firstRow="1" w:lastRow="0" w:firstColumn="1" w:lastColumn="0" w:noHBand="0" w:noVBand="1"/>
      </w:tblPr>
      <w:tblGrid>
        <w:gridCol w:w="10080"/>
      </w:tblGrid>
      <w:tr w:rsidR="0003663B" w:rsidRPr="008E1899" w14:paraId="7BBD5C62" w14:textId="77777777">
        <w:trPr>
          <w:jc w:val="center"/>
        </w:trPr>
        <w:tc>
          <w:tcPr>
            <w:tcW w:w="10080" w:type="dxa"/>
            <w:shd w:val="clear" w:color="auto" w:fill="EEF4F8"/>
            <w:tcMar>
              <w:top w:w="140" w:type="dxa"/>
              <w:left w:w="160" w:type="dxa"/>
              <w:bottom w:w="140" w:type="dxa"/>
              <w:right w:w="160" w:type="dxa"/>
            </w:tcMar>
          </w:tcPr>
          <w:p w14:paraId="1096D2FA" w14:textId="77777777" w:rsidR="0003663B" w:rsidRPr="008E1899" w:rsidRDefault="00000000">
            <w:pPr>
              <w:rPr>
                <w:rFonts w:asciiTheme="majorHAnsi" w:hAnsiTheme="majorHAnsi" w:cstheme="majorHAnsi"/>
              </w:rPr>
            </w:pPr>
            <w:r w:rsidRPr="008E1899">
              <w:rPr>
                <w:rFonts w:asciiTheme="majorHAnsi" w:hAnsiTheme="majorHAnsi" w:cstheme="majorHAnsi"/>
                <w:b/>
                <w:color w:val="14495C"/>
              </w:rPr>
              <w:t>Purpose</w:t>
            </w:r>
          </w:p>
          <w:p w14:paraId="05287280" w14:textId="3577E4BD" w:rsidR="0003663B" w:rsidRPr="008E1899" w:rsidRDefault="00000000">
            <w:pPr>
              <w:spacing w:after="0"/>
              <w:rPr>
                <w:rFonts w:asciiTheme="majorHAnsi" w:hAnsiTheme="majorHAnsi" w:cstheme="majorHAnsi"/>
              </w:rPr>
            </w:pPr>
            <w:r w:rsidRPr="008E1899">
              <w:rPr>
                <w:rFonts w:asciiTheme="majorHAnsi" w:hAnsiTheme="majorHAnsi" w:cstheme="majorHAnsi"/>
              </w:rPr>
              <w:t>A working guide for respiratory care programs that have received—or are at risk of receiving—an accreditation citation or Program Action Letter related to CoARC-established outcomes thresholds.</w:t>
            </w:r>
          </w:p>
        </w:tc>
      </w:tr>
    </w:tbl>
    <w:p w14:paraId="2A8E0B2C" w14:textId="77777777" w:rsidR="0003663B" w:rsidRPr="008E1899" w:rsidRDefault="0003663B">
      <w:pPr>
        <w:spacing w:after="0"/>
        <w:rPr>
          <w:rFonts w:asciiTheme="majorHAnsi" w:hAnsiTheme="majorHAnsi" w:cstheme="majorHAnsi"/>
        </w:rPr>
      </w:pPr>
    </w:p>
    <w:p w14:paraId="264F5C4C" w14:textId="77777777" w:rsidR="0003663B" w:rsidRPr="008E1899" w:rsidRDefault="00000000">
      <w:pPr>
        <w:spacing w:before="360"/>
        <w:jc w:val="center"/>
        <w:rPr>
          <w:rFonts w:asciiTheme="majorHAnsi" w:hAnsiTheme="majorHAnsi" w:cstheme="majorHAnsi"/>
        </w:rPr>
      </w:pPr>
      <w:r w:rsidRPr="008E1899">
        <w:rPr>
          <w:rFonts w:asciiTheme="majorHAnsi" w:hAnsiTheme="majorHAnsi" w:cstheme="majorHAnsi"/>
          <w:b/>
          <w:color w:val="163A5F"/>
        </w:rPr>
        <w:t>Prepared August 2026</w:t>
      </w:r>
    </w:p>
    <w:p w14:paraId="4D9483C2" w14:textId="77777777" w:rsidR="0003663B" w:rsidRPr="008E1899" w:rsidRDefault="00000000">
      <w:pPr>
        <w:jc w:val="center"/>
        <w:rPr>
          <w:rFonts w:asciiTheme="majorHAnsi" w:hAnsiTheme="majorHAnsi" w:cstheme="majorHAnsi"/>
        </w:rPr>
      </w:pPr>
      <w:r w:rsidRPr="008E1899">
        <w:rPr>
          <w:rFonts w:asciiTheme="majorHAnsi" w:hAnsiTheme="majorHAnsi" w:cstheme="majorHAnsi"/>
          <w:i/>
        </w:rPr>
        <w:t>Use with the current CoARC Program Action Letter, RCS instructions, and Executive Office guidance.</w:t>
      </w:r>
    </w:p>
    <w:p w14:paraId="558F9380" w14:textId="77777777" w:rsidR="0003663B" w:rsidRPr="008E1899" w:rsidRDefault="00000000">
      <w:pPr>
        <w:spacing w:before="1100"/>
        <w:jc w:val="center"/>
        <w:rPr>
          <w:rFonts w:asciiTheme="majorHAnsi" w:hAnsiTheme="majorHAnsi" w:cstheme="majorHAnsi"/>
        </w:rPr>
      </w:pPr>
      <w:r w:rsidRPr="008E1899">
        <w:rPr>
          <w:rFonts w:asciiTheme="majorHAnsi" w:hAnsiTheme="majorHAnsi" w:cstheme="majorHAnsi"/>
          <w:b/>
          <w:color w:val="A63D40"/>
        </w:rPr>
        <w:t>IMPORTANT EFFECTIVE-DATE NOTE</w:t>
      </w:r>
    </w:p>
    <w:p w14:paraId="001A702B" w14:textId="74C23579" w:rsidR="0003663B" w:rsidRPr="008E1899" w:rsidRDefault="00000000">
      <w:pPr>
        <w:jc w:val="center"/>
        <w:rPr>
          <w:rFonts w:asciiTheme="majorHAnsi" w:hAnsiTheme="majorHAnsi" w:cstheme="majorHAnsi"/>
        </w:rPr>
      </w:pPr>
      <w:r w:rsidRPr="008E1899">
        <w:rPr>
          <w:rFonts w:asciiTheme="majorHAnsi" w:hAnsiTheme="majorHAnsi" w:cstheme="majorHAnsi"/>
        </w:rPr>
        <w:t>The attached 2027 Entry into Practice Standards were approved March 21, 2026</w:t>
      </w:r>
      <w:r w:rsidR="00187995" w:rsidRPr="008E1899">
        <w:rPr>
          <w:rFonts w:asciiTheme="majorHAnsi" w:hAnsiTheme="majorHAnsi" w:cstheme="majorHAnsi"/>
        </w:rPr>
        <w:t>,</w:t>
      </w:r>
      <w:r w:rsidRPr="008E1899">
        <w:rPr>
          <w:rFonts w:asciiTheme="majorHAnsi" w:hAnsiTheme="majorHAnsi" w:cstheme="majorHAnsi"/>
        </w:rPr>
        <w:t xml:space="preserve"> and become effective January 1, 2027. The same principal threshold values are also reflected in currently published CoARC materials, but programs should always verify the current website and their official correspondence before acting.</w:t>
      </w:r>
    </w:p>
    <w:p w14:paraId="114DCCDC" w14:textId="77777777" w:rsidR="0003663B" w:rsidRPr="008E1899" w:rsidRDefault="00000000">
      <w:pPr>
        <w:rPr>
          <w:rFonts w:asciiTheme="majorHAnsi" w:hAnsiTheme="majorHAnsi" w:cstheme="majorHAnsi"/>
        </w:rPr>
      </w:pPr>
      <w:r w:rsidRPr="008E1899">
        <w:rPr>
          <w:rFonts w:asciiTheme="majorHAnsi" w:hAnsiTheme="majorHAnsi" w:cstheme="majorHAnsi"/>
        </w:rPr>
        <w:br w:type="page"/>
      </w:r>
    </w:p>
    <w:p w14:paraId="70B8BFFB" w14:textId="77777777" w:rsidR="0003663B" w:rsidRPr="008E1899" w:rsidRDefault="00000000">
      <w:pPr>
        <w:pStyle w:val="Heading1"/>
        <w:rPr>
          <w:rFonts w:cstheme="majorHAnsi"/>
        </w:rPr>
      </w:pPr>
      <w:r w:rsidRPr="008E1899">
        <w:rPr>
          <w:rFonts w:cstheme="majorHAnsi"/>
        </w:rPr>
        <w:lastRenderedPageBreak/>
        <w:t>1. Start Here: What a Subthreshold Outcome Means</w:t>
      </w:r>
    </w:p>
    <w:p w14:paraId="7AA9E0E5" w14:textId="77777777" w:rsidR="0003663B" w:rsidRPr="008E1899" w:rsidRDefault="00000000">
      <w:pPr>
        <w:rPr>
          <w:rFonts w:asciiTheme="majorHAnsi" w:hAnsiTheme="majorHAnsi" w:cstheme="majorHAnsi"/>
        </w:rPr>
      </w:pPr>
      <w:r w:rsidRPr="008E1899">
        <w:rPr>
          <w:rFonts w:asciiTheme="majorHAnsi" w:hAnsiTheme="majorHAnsi" w:cstheme="majorHAnsi"/>
        </w:rPr>
        <w:t>CoARC uses an outcomes-based accreditation process. Under 2027 Standard 3.07, each CoARC-numbered program must submit an annual Report of Current Status (RCS) with complete outcome data, analysis, and action plans for any subthreshold outcomes. Compliance is based on the most recent three-year average, rounded to the nearest whole number. Standard 3.08 requires programs that do not meet an established threshold to engage promptly with CoARC after written notification.</w:t>
      </w:r>
    </w:p>
    <w:p w14:paraId="6225A601"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Sources: CoARC 2027 Entry into Practice Standards, Standard 3.07–3.08, pp. 41–44; CoARC 2022 Entry Standards (publicly posted, updated 2024).</w:t>
      </w:r>
    </w:p>
    <w:p w14:paraId="595E5518" w14:textId="77777777" w:rsidR="0003663B" w:rsidRPr="008E1899" w:rsidRDefault="00000000">
      <w:pPr>
        <w:pStyle w:val="Heading2"/>
        <w:rPr>
          <w:rFonts w:cstheme="majorHAnsi"/>
        </w:rPr>
      </w:pPr>
      <w:r w:rsidRPr="008E1899">
        <w:rPr>
          <w:rFonts w:cstheme="majorHAnsi"/>
        </w:rPr>
        <w:t>Quick Reference: Thresholds and Related Indicators</w:t>
      </w:r>
    </w:p>
    <w:tbl>
      <w:tblPr>
        <w:tblW w:w="0" w:type="auto"/>
        <w:jc w:val="center"/>
        <w:tblLayout w:type="fixed"/>
        <w:tblLook w:val="04A0" w:firstRow="1" w:lastRow="0" w:firstColumn="1" w:lastColumn="0" w:noHBand="0" w:noVBand="1"/>
      </w:tblPr>
      <w:tblGrid>
        <w:gridCol w:w="2232"/>
        <w:gridCol w:w="2016"/>
        <w:gridCol w:w="2016"/>
        <w:gridCol w:w="2016"/>
        <w:gridCol w:w="2880"/>
      </w:tblGrid>
      <w:tr w:rsidR="0003663B" w:rsidRPr="008E1899" w14:paraId="520BF988" w14:textId="77777777">
        <w:trPr>
          <w:tblHeader/>
          <w:jc w:val="center"/>
        </w:trPr>
        <w:tc>
          <w:tcPr>
            <w:tcW w:w="2016" w:type="dxa"/>
            <w:shd w:val="clear" w:color="auto" w:fill="163A5F"/>
            <w:tcMar>
              <w:top w:w="100" w:type="dxa"/>
              <w:left w:w="120" w:type="dxa"/>
              <w:bottom w:w="100" w:type="dxa"/>
              <w:right w:w="120" w:type="dxa"/>
            </w:tcMar>
            <w:vAlign w:val="center"/>
          </w:tcPr>
          <w:p w14:paraId="12F366AB"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Measure</w:t>
            </w:r>
          </w:p>
        </w:tc>
        <w:tc>
          <w:tcPr>
            <w:tcW w:w="2016" w:type="dxa"/>
            <w:shd w:val="clear" w:color="auto" w:fill="163A5F"/>
            <w:tcMar>
              <w:top w:w="100" w:type="dxa"/>
              <w:left w:w="120" w:type="dxa"/>
              <w:bottom w:w="100" w:type="dxa"/>
              <w:right w:w="120" w:type="dxa"/>
            </w:tcMar>
            <w:vAlign w:val="center"/>
          </w:tcPr>
          <w:p w14:paraId="1EB665A5"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Threshold</w:t>
            </w:r>
          </w:p>
        </w:tc>
        <w:tc>
          <w:tcPr>
            <w:tcW w:w="2016" w:type="dxa"/>
            <w:shd w:val="clear" w:color="auto" w:fill="163A5F"/>
            <w:tcMar>
              <w:top w:w="100" w:type="dxa"/>
              <w:left w:w="120" w:type="dxa"/>
              <w:bottom w:w="100" w:type="dxa"/>
              <w:right w:w="120" w:type="dxa"/>
            </w:tcMar>
            <w:vAlign w:val="center"/>
          </w:tcPr>
          <w:p w14:paraId="56663545"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Basis</w:t>
            </w:r>
          </w:p>
        </w:tc>
        <w:tc>
          <w:tcPr>
            <w:tcW w:w="2016" w:type="dxa"/>
            <w:shd w:val="clear" w:color="auto" w:fill="163A5F"/>
            <w:tcMar>
              <w:top w:w="100" w:type="dxa"/>
              <w:left w:w="120" w:type="dxa"/>
              <w:bottom w:w="100" w:type="dxa"/>
              <w:right w:w="120" w:type="dxa"/>
            </w:tcMar>
            <w:vAlign w:val="center"/>
          </w:tcPr>
          <w:p w14:paraId="2A16791A"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CoARC action?</w:t>
            </w:r>
          </w:p>
        </w:tc>
        <w:tc>
          <w:tcPr>
            <w:tcW w:w="2016" w:type="dxa"/>
            <w:shd w:val="clear" w:color="auto" w:fill="163A5F"/>
            <w:tcMar>
              <w:top w:w="100" w:type="dxa"/>
              <w:left w:w="120" w:type="dxa"/>
              <w:bottom w:w="100" w:type="dxa"/>
              <w:right w:w="120" w:type="dxa"/>
            </w:tcMar>
            <w:vAlign w:val="center"/>
          </w:tcPr>
          <w:p w14:paraId="3B30968A"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Program Director focus</w:t>
            </w:r>
          </w:p>
        </w:tc>
      </w:tr>
      <w:tr w:rsidR="0003663B" w:rsidRPr="008E1899" w14:paraId="074F27B5" w14:textId="77777777">
        <w:trPr>
          <w:jc w:val="center"/>
        </w:trPr>
        <w:tc>
          <w:tcPr>
            <w:tcW w:w="2232" w:type="dxa"/>
            <w:tcMar>
              <w:top w:w="100" w:type="dxa"/>
              <w:left w:w="120" w:type="dxa"/>
              <w:bottom w:w="100" w:type="dxa"/>
              <w:right w:w="120" w:type="dxa"/>
            </w:tcMar>
            <w:vAlign w:val="center"/>
          </w:tcPr>
          <w:p w14:paraId="3070C899" w14:textId="77777777" w:rsidR="0003663B" w:rsidRPr="008E1899" w:rsidRDefault="00000000">
            <w:pPr>
              <w:rPr>
                <w:rFonts w:asciiTheme="majorHAnsi" w:hAnsiTheme="majorHAnsi" w:cstheme="majorHAnsi"/>
              </w:rPr>
            </w:pPr>
            <w:r w:rsidRPr="008E1899">
              <w:rPr>
                <w:rFonts w:asciiTheme="majorHAnsi" w:hAnsiTheme="majorHAnsi" w:cstheme="majorHAnsi"/>
                <w:sz w:val="17"/>
              </w:rPr>
              <w:t>Respiratory Therapy Examination High Cut Score Success</w:t>
            </w:r>
          </w:p>
        </w:tc>
        <w:tc>
          <w:tcPr>
            <w:tcW w:w="1512" w:type="dxa"/>
            <w:tcMar>
              <w:top w:w="100" w:type="dxa"/>
              <w:left w:w="120" w:type="dxa"/>
              <w:bottom w:w="100" w:type="dxa"/>
              <w:right w:w="120" w:type="dxa"/>
            </w:tcMar>
            <w:vAlign w:val="center"/>
          </w:tcPr>
          <w:p w14:paraId="71CC6886" w14:textId="77777777" w:rsidR="0003663B" w:rsidRPr="008E1899" w:rsidRDefault="00000000">
            <w:pPr>
              <w:rPr>
                <w:rFonts w:asciiTheme="majorHAnsi" w:hAnsiTheme="majorHAnsi" w:cstheme="majorHAnsi"/>
              </w:rPr>
            </w:pPr>
            <w:r w:rsidRPr="008E1899">
              <w:rPr>
                <w:rFonts w:asciiTheme="majorHAnsi" w:hAnsiTheme="majorHAnsi" w:cstheme="majorHAnsi"/>
                <w:sz w:val="17"/>
              </w:rPr>
              <w:t>60%</w:t>
            </w:r>
          </w:p>
        </w:tc>
        <w:tc>
          <w:tcPr>
            <w:tcW w:w="1656" w:type="dxa"/>
            <w:tcMar>
              <w:top w:w="100" w:type="dxa"/>
              <w:left w:w="120" w:type="dxa"/>
              <w:bottom w:w="100" w:type="dxa"/>
              <w:right w:w="120" w:type="dxa"/>
            </w:tcMar>
            <w:vAlign w:val="center"/>
          </w:tcPr>
          <w:p w14:paraId="49D2DFCE" w14:textId="77777777" w:rsidR="0003663B" w:rsidRPr="008E1899" w:rsidRDefault="00000000">
            <w:pPr>
              <w:rPr>
                <w:rFonts w:asciiTheme="majorHAnsi" w:hAnsiTheme="majorHAnsi" w:cstheme="majorHAnsi"/>
              </w:rPr>
            </w:pPr>
            <w:r w:rsidRPr="008E1899">
              <w:rPr>
                <w:rFonts w:asciiTheme="majorHAnsi" w:hAnsiTheme="majorHAnsi" w:cstheme="majorHAnsi"/>
                <w:sz w:val="17"/>
              </w:rPr>
              <w:t>3-year average</w:t>
            </w:r>
          </w:p>
        </w:tc>
        <w:tc>
          <w:tcPr>
            <w:tcW w:w="1728" w:type="dxa"/>
            <w:tcMar>
              <w:top w:w="100" w:type="dxa"/>
              <w:left w:w="120" w:type="dxa"/>
              <w:bottom w:w="100" w:type="dxa"/>
              <w:right w:w="120" w:type="dxa"/>
            </w:tcMar>
            <w:vAlign w:val="center"/>
          </w:tcPr>
          <w:p w14:paraId="39E0B6E1" w14:textId="77777777" w:rsidR="0003663B" w:rsidRPr="008E1899" w:rsidRDefault="00000000">
            <w:pPr>
              <w:rPr>
                <w:rFonts w:asciiTheme="majorHAnsi" w:hAnsiTheme="majorHAnsi" w:cstheme="majorHAnsi"/>
              </w:rPr>
            </w:pPr>
            <w:r w:rsidRPr="008E1899">
              <w:rPr>
                <w:rFonts w:asciiTheme="majorHAnsi" w:hAnsiTheme="majorHAnsi" w:cstheme="majorHAnsi"/>
                <w:sz w:val="17"/>
              </w:rPr>
              <w:t>Yes</w:t>
            </w:r>
          </w:p>
        </w:tc>
        <w:tc>
          <w:tcPr>
            <w:tcW w:w="2880" w:type="dxa"/>
            <w:tcMar>
              <w:top w:w="100" w:type="dxa"/>
              <w:left w:w="120" w:type="dxa"/>
              <w:bottom w:w="100" w:type="dxa"/>
              <w:right w:w="120" w:type="dxa"/>
            </w:tcMar>
            <w:vAlign w:val="center"/>
          </w:tcPr>
          <w:p w14:paraId="7CD4B5CB" w14:textId="77777777" w:rsidR="0003663B" w:rsidRPr="008E1899" w:rsidRDefault="00000000">
            <w:pPr>
              <w:rPr>
                <w:rFonts w:asciiTheme="majorHAnsi" w:hAnsiTheme="majorHAnsi" w:cstheme="majorHAnsi"/>
              </w:rPr>
            </w:pPr>
            <w:r w:rsidRPr="008E1899">
              <w:rPr>
                <w:rFonts w:asciiTheme="majorHAnsi" w:hAnsiTheme="majorHAnsi" w:cstheme="majorHAnsi"/>
                <w:sz w:val="17"/>
              </w:rPr>
              <w:t>Curriculum alignment, exam-domain analysis, testing strategy, remediation</w:t>
            </w:r>
          </w:p>
        </w:tc>
      </w:tr>
      <w:tr w:rsidR="0003663B" w:rsidRPr="008E1899" w14:paraId="147D9082" w14:textId="77777777">
        <w:trPr>
          <w:jc w:val="center"/>
        </w:trPr>
        <w:tc>
          <w:tcPr>
            <w:tcW w:w="2232" w:type="dxa"/>
            <w:shd w:val="clear" w:color="auto" w:fill="F7F9FA"/>
            <w:tcMar>
              <w:top w:w="100" w:type="dxa"/>
              <w:left w:w="120" w:type="dxa"/>
              <w:bottom w:w="100" w:type="dxa"/>
              <w:right w:w="120" w:type="dxa"/>
            </w:tcMar>
            <w:vAlign w:val="center"/>
          </w:tcPr>
          <w:p w14:paraId="02B30115" w14:textId="77777777" w:rsidR="0003663B" w:rsidRPr="008E1899" w:rsidRDefault="00000000">
            <w:pPr>
              <w:rPr>
                <w:rFonts w:asciiTheme="majorHAnsi" w:hAnsiTheme="majorHAnsi" w:cstheme="majorHAnsi"/>
              </w:rPr>
            </w:pPr>
            <w:r w:rsidRPr="008E1899">
              <w:rPr>
                <w:rFonts w:asciiTheme="majorHAnsi" w:hAnsiTheme="majorHAnsi" w:cstheme="majorHAnsi"/>
                <w:sz w:val="17"/>
              </w:rPr>
              <w:t>Retention</w:t>
            </w:r>
          </w:p>
        </w:tc>
        <w:tc>
          <w:tcPr>
            <w:tcW w:w="1512" w:type="dxa"/>
            <w:shd w:val="clear" w:color="auto" w:fill="F7F9FA"/>
            <w:tcMar>
              <w:top w:w="100" w:type="dxa"/>
              <w:left w:w="120" w:type="dxa"/>
              <w:bottom w:w="100" w:type="dxa"/>
              <w:right w:w="120" w:type="dxa"/>
            </w:tcMar>
            <w:vAlign w:val="center"/>
          </w:tcPr>
          <w:p w14:paraId="283D2A31" w14:textId="77777777" w:rsidR="0003663B" w:rsidRPr="008E1899" w:rsidRDefault="00000000">
            <w:pPr>
              <w:rPr>
                <w:rFonts w:asciiTheme="majorHAnsi" w:hAnsiTheme="majorHAnsi" w:cstheme="majorHAnsi"/>
              </w:rPr>
            </w:pPr>
            <w:r w:rsidRPr="008E1899">
              <w:rPr>
                <w:rFonts w:asciiTheme="majorHAnsi" w:hAnsiTheme="majorHAnsi" w:cstheme="majorHAnsi"/>
                <w:sz w:val="17"/>
              </w:rPr>
              <w:t>70%</w:t>
            </w:r>
          </w:p>
        </w:tc>
        <w:tc>
          <w:tcPr>
            <w:tcW w:w="1656" w:type="dxa"/>
            <w:shd w:val="clear" w:color="auto" w:fill="F7F9FA"/>
            <w:tcMar>
              <w:top w:w="100" w:type="dxa"/>
              <w:left w:w="120" w:type="dxa"/>
              <w:bottom w:w="100" w:type="dxa"/>
              <w:right w:w="120" w:type="dxa"/>
            </w:tcMar>
            <w:vAlign w:val="center"/>
          </w:tcPr>
          <w:p w14:paraId="4D88700C" w14:textId="77777777" w:rsidR="0003663B" w:rsidRPr="008E1899" w:rsidRDefault="00000000">
            <w:pPr>
              <w:rPr>
                <w:rFonts w:asciiTheme="majorHAnsi" w:hAnsiTheme="majorHAnsi" w:cstheme="majorHAnsi"/>
              </w:rPr>
            </w:pPr>
            <w:r w:rsidRPr="008E1899">
              <w:rPr>
                <w:rFonts w:asciiTheme="majorHAnsi" w:hAnsiTheme="majorHAnsi" w:cstheme="majorHAnsi"/>
                <w:sz w:val="17"/>
              </w:rPr>
              <w:t>3-year average</w:t>
            </w:r>
          </w:p>
        </w:tc>
        <w:tc>
          <w:tcPr>
            <w:tcW w:w="1728" w:type="dxa"/>
            <w:shd w:val="clear" w:color="auto" w:fill="F7F9FA"/>
            <w:tcMar>
              <w:top w:w="100" w:type="dxa"/>
              <w:left w:w="120" w:type="dxa"/>
              <w:bottom w:w="100" w:type="dxa"/>
              <w:right w:w="120" w:type="dxa"/>
            </w:tcMar>
            <w:vAlign w:val="center"/>
          </w:tcPr>
          <w:p w14:paraId="063F4977" w14:textId="77777777" w:rsidR="0003663B" w:rsidRPr="008E1899" w:rsidRDefault="00000000">
            <w:pPr>
              <w:rPr>
                <w:rFonts w:asciiTheme="majorHAnsi" w:hAnsiTheme="majorHAnsi" w:cstheme="majorHAnsi"/>
              </w:rPr>
            </w:pPr>
            <w:r w:rsidRPr="008E1899">
              <w:rPr>
                <w:rFonts w:asciiTheme="majorHAnsi" w:hAnsiTheme="majorHAnsi" w:cstheme="majorHAnsi"/>
                <w:sz w:val="17"/>
              </w:rPr>
              <w:t>Yes</w:t>
            </w:r>
          </w:p>
        </w:tc>
        <w:tc>
          <w:tcPr>
            <w:tcW w:w="2880" w:type="dxa"/>
            <w:shd w:val="clear" w:color="auto" w:fill="F7F9FA"/>
            <w:tcMar>
              <w:top w:w="100" w:type="dxa"/>
              <w:left w:w="120" w:type="dxa"/>
              <w:bottom w:w="100" w:type="dxa"/>
              <w:right w:w="120" w:type="dxa"/>
            </w:tcMar>
            <w:vAlign w:val="center"/>
          </w:tcPr>
          <w:p w14:paraId="44F20A2F" w14:textId="77777777" w:rsidR="0003663B" w:rsidRPr="008E1899" w:rsidRDefault="00000000">
            <w:pPr>
              <w:rPr>
                <w:rFonts w:asciiTheme="majorHAnsi" w:hAnsiTheme="majorHAnsi" w:cstheme="majorHAnsi"/>
              </w:rPr>
            </w:pPr>
            <w:r w:rsidRPr="008E1899">
              <w:rPr>
                <w:rFonts w:asciiTheme="majorHAnsi" w:hAnsiTheme="majorHAnsi" w:cstheme="majorHAnsi"/>
                <w:sz w:val="17"/>
              </w:rPr>
              <w:t>Early alert, progression points, academic/clinical support, attrition root causes</w:t>
            </w:r>
          </w:p>
        </w:tc>
      </w:tr>
      <w:tr w:rsidR="0003663B" w:rsidRPr="008E1899" w14:paraId="43A56905" w14:textId="77777777">
        <w:trPr>
          <w:jc w:val="center"/>
        </w:trPr>
        <w:tc>
          <w:tcPr>
            <w:tcW w:w="2232" w:type="dxa"/>
            <w:tcMar>
              <w:top w:w="100" w:type="dxa"/>
              <w:left w:w="120" w:type="dxa"/>
              <w:bottom w:w="100" w:type="dxa"/>
              <w:right w:w="120" w:type="dxa"/>
            </w:tcMar>
            <w:vAlign w:val="center"/>
          </w:tcPr>
          <w:p w14:paraId="301D8021" w14:textId="77777777" w:rsidR="0003663B" w:rsidRPr="008E1899" w:rsidRDefault="00000000">
            <w:pPr>
              <w:rPr>
                <w:rFonts w:asciiTheme="majorHAnsi" w:hAnsiTheme="majorHAnsi" w:cstheme="majorHAnsi"/>
              </w:rPr>
            </w:pPr>
            <w:r w:rsidRPr="008E1899">
              <w:rPr>
                <w:rFonts w:asciiTheme="majorHAnsi" w:hAnsiTheme="majorHAnsi" w:cstheme="majorHAnsi"/>
                <w:sz w:val="17"/>
              </w:rPr>
              <w:t>Graduate satisfaction</w:t>
            </w:r>
          </w:p>
        </w:tc>
        <w:tc>
          <w:tcPr>
            <w:tcW w:w="1512" w:type="dxa"/>
            <w:tcMar>
              <w:top w:w="100" w:type="dxa"/>
              <w:left w:w="120" w:type="dxa"/>
              <w:bottom w:w="100" w:type="dxa"/>
              <w:right w:w="120" w:type="dxa"/>
            </w:tcMar>
            <w:vAlign w:val="center"/>
          </w:tcPr>
          <w:p w14:paraId="76C92E9A" w14:textId="77777777" w:rsidR="0003663B" w:rsidRPr="008E1899" w:rsidRDefault="00000000">
            <w:pPr>
              <w:rPr>
                <w:rFonts w:asciiTheme="majorHAnsi" w:hAnsiTheme="majorHAnsi" w:cstheme="majorHAnsi"/>
              </w:rPr>
            </w:pPr>
            <w:r w:rsidRPr="008E1899">
              <w:rPr>
                <w:rFonts w:asciiTheme="majorHAnsi" w:hAnsiTheme="majorHAnsi" w:cstheme="majorHAnsi"/>
                <w:sz w:val="17"/>
              </w:rPr>
              <w:t>≥80% rate 3+ on each survey question</w:t>
            </w:r>
          </w:p>
        </w:tc>
        <w:tc>
          <w:tcPr>
            <w:tcW w:w="1656" w:type="dxa"/>
            <w:tcMar>
              <w:top w:w="100" w:type="dxa"/>
              <w:left w:w="120" w:type="dxa"/>
              <w:bottom w:w="100" w:type="dxa"/>
              <w:right w:w="120" w:type="dxa"/>
            </w:tcMar>
            <w:vAlign w:val="center"/>
          </w:tcPr>
          <w:p w14:paraId="1F0DC820" w14:textId="77777777" w:rsidR="0003663B" w:rsidRPr="008E1899" w:rsidRDefault="00000000">
            <w:pPr>
              <w:rPr>
                <w:rFonts w:asciiTheme="majorHAnsi" w:hAnsiTheme="majorHAnsi" w:cstheme="majorHAnsi"/>
              </w:rPr>
            </w:pPr>
            <w:r w:rsidRPr="008E1899">
              <w:rPr>
                <w:rFonts w:asciiTheme="majorHAnsi" w:hAnsiTheme="majorHAnsi" w:cstheme="majorHAnsi"/>
                <w:sz w:val="17"/>
              </w:rPr>
              <w:t>3-year average</w:t>
            </w:r>
          </w:p>
        </w:tc>
        <w:tc>
          <w:tcPr>
            <w:tcW w:w="1728" w:type="dxa"/>
            <w:tcMar>
              <w:top w:w="100" w:type="dxa"/>
              <w:left w:w="120" w:type="dxa"/>
              <w:bottom w:w="100" w:type="dxa"/>
              <w:right w:w="120" w:type="dxa"/>
            </w:tcMar>
            <w:vAlign w:val="center"/>
          </w:tcPr>
          <w:p w14:paraId="6EC348F7" w14:textId="77777777" w:rsidR="0003663B" w:rsidRPr="008E1899" w:rsidRDefault="00000000">
            <w:pPr>
              <w:rPr>
                <w:rFonts w:asciiTheme="majorHAnsi" w:hAnsiTheme="majorHAnsi" w:cstheme="majorHAnsi"/>
              </w:rPr>
            </w:pPr>
            <w:r w:rsidRPr="008E1899">
              <w:rPr>
                <w:rFonts w:asciiTheme="majorHAnsi" w:hAnsiTheme="majorHAnsi" w:cstheme="majorHAnsi"/>
                <w:sz w:val="17"/>
              </w:rPr>
              <w:t>Yes</w:t>
            </w:r>
          </w:p>
        </w:tc>
        <w:tc>
          <w:tcPr>
            <w:tcW w:w="2880" w:type="dxa"/>
            <w:tcMar>
              <w:top w:w="100" w:type="dxa"/>
              <w:left w:w="120" w:type="dxa"/>
              <w:bottom w:w="100" w:type="dxa"/>
              <w:right w:w="120" w:type="dxa"/>
            </w:tcMar>
            <w:vAlign w:val="center"/>
          </w:tcPr>
          <w:p w14:paraId="54D327A9" w14:textId="77777777" w:rsidR="0003663B" w:rsidRPr="008E1899" w:rsidRDefault="00000000">
            <w:pPr>
              <w:rPr>
                <w:rFonts w:asciiTheme="majorHAnsi" w:hAnsiTheme="majorHAnsi" w:cstheme="majorHAnsi"/>
              </w:rPr>
            </w:pPr>
            <w:r w:rsidRPr="008E1899">
              <w:rPr>
                <w:rFonts w:asciiTheme="majorHAnsi" w:hAnsiTheme="majorHAnsi" w:cstheme="majorHAnsi"/>
                <w:sz w:val="17"/>
              </w:rPr>
              <w:t>Survey item-level analysis; close feedback loops with graduates</w:t>
            </w:r>
          </w:p>
        </w:tc>
      </w:tr>
      <w:tr w:rsidR="0003663B" w:rsidRPr="008E1899" w14:paraId="7B700112" w14:textId="77777777">
        <w:trPr>
          <w:jc w:val="center"/>
        </w:trPr>
        <w:tc>
          <w:tcPr>
            <w:tcW w:w="2232" w:type="dxa"/>
            <w:shd w:val="clear" w:color="auto" w:fill="F7F9FA"/>
            <w:tcMar>
              <w:top w:w="100" w:type="dxa"/>
              <w:left w:w="120" w:type="dxa"/>
              <w:bottom w:w="100" w:type="dxa"/>
              <w:right w:w="120" w:type="dxa"/>
            </w:tcMar>
            <w:vAlign w:val="center"/>
          </w:tcPr>
          <w:p w14:paraId="3BBAAA80" w14:textId="77777777" w:rsidR="0003663B" w:rsidRPr="008E1899" w:rsidRDefault="00000000">
            <w:pPr>
              <w:rPr>
                <w:rFonts w:asciiTheme="majorHAnsi" w:hAnsiTheme="majorHAnsi" w:cstheme="majorHAnsi"/>
              </w:rPr>
            </w:pPr>
            <w:r w:rsidRPr="008E1899">
              <w:rPr>
                <w:rFonts w:asciiTheme="majorHAnsi" w:hAnsiTheme="majorHAnsi" w:cstheme="majorHAnsi"/>
                <w:sz w:val="17"/>
              </w:rPr>
              <w:t>Employer satisfaction</w:t>
            </w:r>
          </w:p>
        </w:tc>
        <w:tc>
          <w:tcPr>
            <w:tcW w:w="1512" w:type="dxa"/>
            <w:shd w:val="clear" w:color="auto" w:fill="F7F9FA"/>
            <w:tcMar>
              <w:top w:w="100" w:type="dxa"/>
              <w:left w:w="120" w:type="dxa"/>
              <w:bottom w:w="100" w:type="dxa"/>
              <w:right w:w="120" w:type="dxa"/>
            </w:tcMar>
            <w:vAlign w:val="center"/>
          </w:tcPr>
          <w:p w14:paraId="032BC77F" w14:textId="77777777" w:rsidR="0003663B" w:rsidRPr="008E1899" w:rsidRDefault="00000000">
            <w:pPr>
              <w:rPr>
                <w:rFonts w:asciiTheme="majorHAnsi" w:hAnsiTheme="majorHAnsi" w:cstheme="majorHAnsi"/>
              </w:rPr>
            </w:pPr>
            <w:r w:rsidRPr="008E1899">
              <w:rPr>
                <w:rFonts w:asciiTheme="majorHAnsi" w:hAnsiTheme="majorHAnsi" w:cstheme="majorHAnsi"/>
                <w:sz w:val="17"/>
              </w:rPr>
              <w:t>≥80% rate 3+ on each survey question</w:t>
            </w:r>
          </w:p>
        </w:tc>
        <w:tc>
          <w:tcPr>
            <w:tcW w:w="1656" w:type="dxa"/>
            <w:shd w:val="clear" w:color="auto" w:fill="F7F9FA"/>
            <w:tcMar>
              <w:top w:w="100" w:type="dxa"/>
              <w:left w:w="120" w:type="dxa"/>
              <w:bottom w:w="100" w:type="dxa"/>
              <w:right w:w="120" w:type="dxa"/>
            </w:tcMar>
            <w:vAlign w:val="center"/>
          </w:tcPr>
          <w:p w14:paraId="41910231" w14:textId="77777777" w:rsidR="0003663B" w:rsidRPr="008E1899" w:rsidRDefault="00000000">
            <w:pPr>
              <w:rPr>
                <w:rFonts w:asciiTheme="majorHAnsi" w:hAnsiTheme="majorHAnsi" w:cstheme="majorHAnsi"/>
              </w:rPr>
            </w:pPr>
            <w:r w:rsidRPr="008E1899">
              <w:rPr>
                <w:rFonts w:asciiTheme="majorHAnsi" w:hAnsiTheme="majorHAnsi" w:cstheme="majorHAnsi"/>
                <w:sz w:val="17"/>
              </w:rPr>
              <w:t>3-year average</w:t>
            </w:r>
          </w:p>
        </w:tc>
        <w:tc>
          <w:tcPr>
            <w:tcW w:w="1728" w:type="dxa"/>
            <w:shd w:val="clear" w:color="auto" w:fill="F7F9FA"/>
            <w:tcMar>
              <w:top w:w="100" w:type="dxa"/>
              <w:left w:w="120" w:type="dxa"/>
              <w:bottom w:w="100" w:type="dxa"/>
              <w:right w:w="120" w:type="dxa"/>
            </w:tcMar>
            <w:vAlign w:val="center"/>
          </w:tcPr>
          <w:p w14:paraId="730DEE56" w14:textId="77777777" w:rsidR="0003663B" w:rsidRPr="008E1899" w:rsidRDefault="00000000">
            <w:pPr>
              <w:rPr>
                <w:rFonts w:asciiTheme="majorHAnsi" w:hAnsiTheme="majorHAnsi" w:cstheme="majorHAnsi"/>
              </w:rPr>
            </w:pPr>
            <w:r w:rsidRPr="008E1899">
              <w:rPr>
                <w:rFonts w:asciiTheme="majorHAnsi" w:hAnsiTheme="majorHAnsi" w:cstheme="majorHAnsi"/>
                <w:sz w:val="17"/>
              </w:rPr>
              <w:t>Yes</w:t>
            </w:r>
          </w:p>
        </w:tc>
        <w:tc>
          <w:tcPr>
            <w:tcW w:w="2880" w:type="dxa"/>
            <w:shd w:val="clear" w:color="auto" w:fill="F7F9FA"/>
            <w:tcMar>
              <w:top w:w="100" w:type="dxa"/>
              <w:left w:w="120" w:type="dxa"/>
              <w:bottom w:w="100" w:type="dxa"/>
              <w:right w:w="120" w:type="dxa"/>
            </w:tcMar>
            <w:vAlign w:val="center"/>
          </w:tcPr>
          <w:p w14:paraId="787D5698" w14:textId="77777777" w:rsidR="0003663B" w:rsidRPr="008E1899" w:rsidRDefault="00000000">
            <w:pPr>
              <w:rPr>
                <w:rFonts w:asciiTheme="majorHAnsi" w:hAnsiTheme="majorHAnsi" w:cstheme="majorHAnsi"/>
              </w:rPr>
            </w:pPr>
            <w:r w:rsidRPr="008E1899">
              <w:rPr>
                <w:rFonts w:asciiTheme="majorHAnsi" w:hAnsiTheme="majorHAnsi" w:cstheme="majorHAnsi"/>
                <w:sz w:val="17"/>
              </w:rPr>
              <w:t>Employer/clinical partner feedback; competency and workplace-readiness gaps</w:t>
            </w:r>
          </w:p>
        </w:tc>
      </w:tr>
      <w:tr w:rsidR="0003663B" w:rsidRPr="008E1899" w14:paraId="0B9DC10F" w14:textId="77777777">
        <w:trPr>
          <w:jc w:val="center"/>
        </w:trPr>
        <w:tc>
          <w:tcPr>
            <w:tcW w:w="2232" w:type="dxa"/>
            <w:tcMar>
              <w:top w:w="100" w:type="dxa"/>
              <w:left w:w="120" w:type="dxa"/>
              <w:bottom w:w="100" w:type="dxa"/>
              <w:right w:w="120" w:type="dxa"/>
            </w:tcMar>
            <w:vAlign w:val="center"/>
          </w:tcPr>
          <w:p w14:paraId="12E6197C" w14:textId="77777777" w:rsidR="0003663B" w:rsidRPr="008E1899" w:rsidRDefault="00000000">
            <w:pPr>
              <w:rPr>
                <w:rFonts w:asciiTheme="majorHAnsi" w:hAnsiTheme="majorHAnsi" w:cstheme="majorHAnsi"/>
              </w:rPr>
            </w:pPr>
            <w:r w:rsidRPr="008E1899">
              <w:rPr>
                <w:rFonts w:asciiTheme="majorHAnsi" w:hAnsiTheme="majorHAnsi" w:cstheme="majorHAnsi"/>
                <w:sz w:val="17"/>
              </w:rPr>
              <w:t>RRT credentialing success</w:t>
            </w:r>
          </w:p>
        </w:tc>
        <w:tc>
          <w:tcPr>
            <w:tcW w:w="1512" w:type="dxa"/>
            <w:tcMar>
              <w:top w:w="100" w:type="dxa"/>
              <w:left w:w="120" w:type="dxa"/>
              <w:bottom w:w="100" w:type="dxa"/>
              <w:right w:w="120" w:type="dxa"/>
            </w:tcMar>
            <w:vAlign w:val="center"/>
          </w:tcPr>
          <w:p w14:paraId="206C6CF6" w14:textId="77777777" w:rsidR="0003663B" w:rsidRPr="008E1899" w:rsidRDefault="00000000">
            <w:pPr>
              <w:rPr>
                <w:rFonts w:asciiTheme="majorHAnsi" w:hAnsiTheme="majorHAnsi" w:cstheme="majorHAnsi"/>
              </w:rPr>
            </w:pPr>
            <w:r w:rsidRPr="008E1899">
              <w:rPr>
                <w:rFonts w:asciiTheme="majorHAnsi" w:hAnsiTheme="majorHAnsi" w:cstheme="majorHAnsi"/>
                <w:sz w:val="17"/>
              </w:rPr>
              <w:t>No CoARC threshold</w:t>
            </w:r>
          </w:p>
        </w:tc>
        <w:tc>
          <w:tcPr>
            <w:tcW w:w="1656" w:type="dxa"/>
            <w:tcMar>
              <w:top w:w="100" w:type="dxa"/>
              <w:left w:w="120" w:type="dxa"/>
              <w:bottom w:w="100" w:type="dxa"/>
              <w:right w:w="120" w:type="dxa"/>
            </w:tcMar>
            <w:vAlign w:val="center"/>
          </w:tcPr>
          <w:p w14:paraId="7A9CD4B5" w14:textId="77777777" w:rsidR="0003663B" w:rsidRPr="008E1899" w:rsidRDefault="00000000">
            <w:pPr>
              <w:rPr>
                <w:rFonts w:asciiTheme="majorHAnsi" w:hAnsiTheme="majorHAnsi" w:cstheme="majorHAnsi"/>
              </w:rPr>
            </w:pPr>
            <w:r w:rsidRPr="008E1899">
              <w:rPr>
                <w:rFonts w:asciiTheme="majorHAnsi" w:hAnsiTheme="majorHAnsi" w:cstheme="majorHAnsi"/>
                <w:sz w:val="17"/>
              </w:rPr>
              <w:t>Report annually</w:t>
            </w:r>
          </w:p>
        </w:tc>
        <w:tc>
          <w:tcPr>
            <w:tcW w:w="1728" w:type="dxa"/>
            <w:tcMar>
              <w:top w:w="100" w:type="dxa"/>
              <w:left w:w="120" w:type="dxa"/>
              <w:bottom w:w="100" w:type="dxa"/>
              <w:right w:w="120" w:type="dxa"/>
            </w:tcMar>
            <w:vAlign w:val="center"/>
          </w:tcPr>
          <w:p w14:paraId="6D991E8F" w14:textId="77777777" w:rsidR="0003663B" w:rsidRPr="008E1899" w:rsidRDefault="00000000">
            <w:pPr>
              <w:rPr>
                <w:rFonts w:asciiTheme="majorHAnsi" w:hAnsiTheme="majorHAnsi" w:cstheme="majorHAnsi"/>
              </w:rPr>
            </w:pPr>
            <w:r w:rsidRPr="008E1899">
              <w:rPr>
                <w:rFonts w:asciiTheme="majorHAnsi" w:hAnsiTheme="majorHAnsi" w:cstheme="majorHAnsi"/>
                <w:sz w:val="17"/>
              </w:rPr>
              <w:t>No threshold</w:t>
            </w:r>
          </w:p>
        </w:tc>
        <w:tc>
          <w:tcPr>
            <w:tcW w:w="2880" w:type="dxa"/>
            <w:tcMar>
              <w:top w:w="100" w:type="dxa"/>
              <w:left w:w="120" w:type="dxa"/>
              <w:bottom w:w="100" w:type="dxa"/>
              <w:right w:w="120" w:type="dxa"/>
            </w:tcMar>
            <w:vAlign w:val="center"/>
          </w:tcPr>
          <w:p w14:paraId="26364910" w14:textId="77777777" w:rsidR="0003663B" w:rsidRPr="008E1899" w:rsidRDefault="00000000">
            <w:pPr>
              <w:rPr>
                <w:rFonts w:asciiTheme="majorHAnsi" w:hAnsiTheme="majorHAnsi" w:cstheme="majorHAnsi"/>
              </w:rPr>
            </w:pPr>
            <w:r w:rsidRPr="008E1899">
              <w:rPr>
                <w:rFonts w:asciiTheme="majorHAnsi" w:hAnsiTheme="majorHAnsi" w:cstheme="majorHAnsi"/>
                <w:sz w:val="17"/>
              </w:rPr>
              <w:t>Use as an internal leading/lagging indicator and benchmark</w:t>
            </w:r>
          </w:p>
        </w:tc>
      </w:tr>
      <w:tr w:rsidR="0003663B" w:rsidRPr="008E1899" w14:paraId="28E1E524" w14:textId="77777777">
        <w:trPr>
          <w:jc w:val="center"/>
        </w:trPr>
        <w:tc>
          <w:tcPr>
            <w:tcW w:w="2232" w:type="dxa"/>
            <w:shd w:val="clear" w:color="auto" w:fill="F7F9FA"/>
            <w:tcMar>
              <w:top w:w="100" w:type="dxa"/>
              <w:left w:w="120" w:type="dxa"/>
              <w:bottom w:w="100" w:type="dxa"/>
              <w:right w:w="120" w:type="dxa"/>
            </w:tcMar>
            <w:vAlign w:val="center"/>
          </w:tcPr>
          <w:p w14:paraId="3E04128C" w14:textId="77777777" w:rsidR="0003663B" w:rsidRPr="008E1899" w:rsidRDefault="00000000">
            <w:pPr>
              <w:rPr>
                <w:rFonts w:asciiTheme="majorHAnsi" w:hAnsiTheme="majorHAnsi" w:cstheme="majorHAnsi"/>
              </w:rPr>
            </w:pPr>
            <w:r w:rsidRPr="008E1899">
              <w:rPr>
                <w:rFonts w:asciiTheme="majorHAnsi" w:hAnsiTheme="majorHAnsi" w:cstheme="majorHAnsi"/>
                <w:sz w:val="17"/>
              </w:rPr>
              <w:t>Job placement</w:t>
            </w:r>
          </w:p>
        </w:tc>
        <w:tc>
          <w:tcPr>
            <w:tcW w:w="1512" w:type="dxa"/>
            <w:shd w:val="clear" w:color="auto" w:fill="F7F9FA"/>
            <w:tcMar>
              <w:top w:w="100" w:type="dxa"/>
              <w:left w:w="120" w:type="dxa"/>
              <w:bottom w:w="100" w:type="dxa"/>
              <w:right w:w="120" w:type="dxa"/>
            </w:tcMar>
            <w:vAlign w:val="center"/>
          </w:tcPr>
          <w:p w14:paraId="3D48643E" w14:textId="77777777" w:rsidR="0003663B" w:rsidRPr="008E1899" w:rsidRDefault="00000000">
            <w:pPr>
              <w:rPr>
                <w:rFonts w:asciiTheme="majorHAnsi" w:hAnsiTheme="majorHAnsi" w:cstheme="majorHAnsi"/>
              </w:rPr>
            </w:pPr>
            <w:r w:rsidRPr="008E1899">
              <w:rPr>
                <w:rFonts w:asciiTheme="majorHAnsi" w:hAnsiTheme="majorHAnsi" w:cstheme="majorHAnsi"/>
                <w:sz w:val="17"/>
              </w:rPr>
              <w:t>No CoARC threshold</w:t>
            </w:r>
          </w:p>
        </w:tc>
        <w:tc>
          <w:tcPr>
            <w:tcW w:w="1656" w:type="dxa"/>
            <w:shd w:val="clear" w:color="auto" w:fill="F7F9FA"/>
            <w:tcMar>
              <w:top w:w="100" w:type="dxa"/>
              <w:left w:w="120" w:type="dxa"/>
              <w:bottom w:w="100" w:type="dxa"/>
              <w:right w:w="120" w:type="dxa"/>
            </w:tcMar>
            <w:vAlign w:val="center"/>
          </w:tcPr>
          <w:p w14:paraId="1D3A8122" w14:textId="77777777" w:rsidR="0003663B" w:rsidRPr="008E1899" w:rsidRDefault="00000000">
            <w:pPr>
              <w:rPr>
                <w:rFonts w:asciiTheme="majorHAnsi" w:hAnsiTheme="majorHAnsi" w:cstheme="majorHAnsi"/>
              </w:rPr>
            </w:pPr>
            <w:r w:rsidRPr="008E1899">
              <w:rPr>
                <w:rFonts w:asciiTheme="majorHAnsi" w:hAnsiTheme="majorHAnsi" w:cstheme="majorHAnsi"/>
                <w:sz w:val="17"/>
              </w:rPr>
              <w:t>Report annually</w:t>
            </w:r>
          </w:p>
        </w:tc>
        <w:tc>
          <w:tcPr>
            <w:tcW w:w="1728" w:type="dxa"/>
            <w:shd w:val="clear" w:color="auto" w:fill="F7F9FA"/>
            <w:tcMar>
              <w:top w:w="100" w:type="dxa"/>
              <w:left w:w="120" w:type="dxa"/>
              <w:bottom w:w="100" w:type="dxa"/>
              <w:right w:w="120" w:type="dxa"/>
            </w:tcMar>
            <w:vAlign w:val="center"/>
          </w:tcPr>
          <w:p w14:paraId="6878AA53" w14:textId="77777777" w:rsidR="0003663B" w:rsidRPr="008E1899" w:rsidRDefault="00000000">
            <w:pPr>
              <w:rPr>
                <w:rFonts w:asciiTheme="majorHAnsi" w:hAnsiTheme="majorHAnsi" w:cstheme="majorHAnsi"/>
              </w:rPr>
            </w:pPr>
            <w:r w:rsidRPr="008E1899">
              <w:rPr>
                <w:rFonts w:asciiTheme="majorHAnsi" w:hAnsiTheme="majorHAnsi" w:cstheme="majorHAnsi"/>
                <w:sz w:val="17"/>
              </w:rPr>
              <w:t>No threshold</w:t>
            </w:r>
          </w:p>
        </w:tc>
        <w:tc>
          <w:tcPr>
            <w:tcW w:w="2880" w:type="dxa"/>
            <w:shd w:val="clear" w:color="auto" w:fill="F7F9FA"/>
            <w:tcMar>
              <w:top w:w="100" w:type="dxa"/>
              <w:left w:w="120" w:type="dxa"/>
              <w:bottom w:w="100" w:type="dxa"/>
              <w:right w:w="120" w:type="dxa"/>
            </w:tcMar>
            <w:vAlign w:val="center"/>
          </w:tcPr>
          <w:p w14:paraId="782B1C19" w14:textId="77777777" w:rsidR="0003663B" w:rsidRPr="008E1899" w:rsidRDefault="00000000">
            <w:pPr>
              <w:rPr>
                <w:rFonts w:asciiTheme="majorHAnsi" w:hAnsiTheme="majorHAnsi" w:cstheme="majorHAnsi"/>
              </w:rPr>
            </w:pPr>
            <w:r w:rsidRPr="008E1899">
              <w:rPr>
                <w:rFonts w:asciiTheme="majorHAnsi" w:hAnsiTheme="majorHAnsi" w:cstheme="majorHAnsi"/>
                <w:sz w:val="17"/>
              </w:rPr>
              <w:t>Track employability, local market, graduate follow-up</w:t>
            </w:r>
          </w:p>
        </w:tc>
      </w:tr>
      <w:tr w:rsidR="0003663B" w:rsidRPr="008E1899" w14:paraId="7DBC089D" w14:textId="77777777">
        <w:trPr>
          <w:jc w:val="center"/>
        </w:trPr>
        <w:tc>
          <w:tcPr>
            <w:tcW w:w="2232" w:type="dxa"/>
            <w:tcMar>
              <w:top w:w="100" w:type="dxa"/>
              <w:left w:w="120" w:type="dxa"/>
              <w:bottom w:w="100" w:type="dxa"/>
              <w:right w:w="120" w:type="dxa"/>
            </w:tcMar>
            <w:vAlign w:val="center"/>
          </w:tcPr>
          <w:p w14:paraId="7D206BDE" w14:textId="77777777" w:rsidR="0003663B" w:rsidRPr="008E1899" w:rsidRDefault="00000000">
            <w:pPr>
              <w:rPr>
                <w:rFonts w:asciiTheme="majorHAnsi" w:hAnsiTheme="majorHAnsi" w:cstheme="majorHAnsi"/>
              </w:rPr>
            </w:pPr>
            <w:r w:rsidRPr="008E1899">
              <w:rPr>
                <w:rFonts w:asciiTheme="majorHAnsi" w:hAnsiTheme="majorHAnsi" w:cstheme="majorHAnsi"/>
                <w:sz w:val="17"/>
              </w:rPr>
              <w:t>NBRC exam content sections I–III</w:t>
            </w:r>
          </w:p>
        </w:tc>
        <w:tc>
          <w:tcPr>
            <w:tcW w:w="1512" w:type="dxa"/>
            <w:tcMar>
              <w:top w:w="100" w:type="dxa"/>
              <w:left w:w="120" w:type="dxa"/>
              <w:bottom w:w="100" w:type="dxa"/>
              <w:right w:w="120" w:type="dxa"/>
            </w:tcMar>
            <w:vAlign w:val="center"/>
          </w:tcPr>
          <w:p w14:paraId="5FD72306" w14:textId="77777777" w:rsidR="0003663B" w:rsidRPr="008E1899" w:rsidRDefault="00000000">
            <w:pPr>
              <w:rPr>
                <w:rFonts w:asciiTheme="majorHAnsi" w:hAnsiTheme="majorHAnsi" w:cstheme="majorHAnsi"/>
              </w:rPr>
            </w:pPr>
            <w:r w:rsidRPr="008E1899">
              <w:rPr>
                <w:rFonts w:asciiTheme="majorHAnsi" w:hAnsiTheme="majorHAnsi" w:cstheme="majorHAnsi"/>
                <w:sz w:val="17"/>
              </w:rPr>
              <w:t>85% of national mean</w:t>
            </w:r>
          </w:p>
        </w:tc>
        <w:tc>
          <w:tcPr>
            <w:tcW w:w="1656" w:type="dxa"/>
            <w:tcMar>
              <w:top w:w="100" w:type="dxa"/>
              <w:left w:w="120" w:type="dxa"/>
              <w:bottom w:w="100" w:type="dxa"/>
              <w:right w:w="120" w:type="dxa"/>
            </w:tcMar>
            <w:vAlign w:val="center"/>
          </w:tcPr>
          <w:p w14:paraId="5B67954A" w14:textId="77777777" w:rsidR="0003663B" w:rsidRPr="008E1899" w:rsidRDefault="00000000">
            <w:pPr>
              <w:rPr>
                <w:rFonts w:asciiTheme="majorHAnsi" w:hAnsiTheme="majorHAnsi" w:cstheme="majorHAnsi"/>
              </w:rPr>
            </w:pPr>
            <w:r w:rsidRPr="008E1899">
              <w:rPr>
                <w:rFonts w:asciiTheme="majorHAnsi" w:hAnsiTheme="majorHAnsi" w:cstheme="majorHAnsi"/>
                <w:sz w:val="17"/>
              </w:rPr>
              <w:t>Each reporting period</w:t>
            </w:r>
          </w:p>
        </w:tc>
        <w:tc>
          <w:tcPr>
            <w:tcW w:w="1728" w:type="dxa"/>
            <w:tcMar>
              <w:top w:w="100" w:type="dxa"/>
              <w:left w:w="120" w:type="dxa"/>
              <w:bottom w:w="100" w:type="dxa"/>
              <w:right w:w="120" w:type="dxa"/>
            </w:tcMar>
            <w:vAlign w:val="center"/>
          </w:tcPr>
          <w:p w14:paraId="2FD7183E" w14:textId="77777777" w:rsidR="0003663B" w:rsidRPr="008E1899" w:rsidRDefault="00000000">
            <w:pPr>
              <w:rPr>
                <w:rFonts w:asciiTheme="majorHAnsi" w:hAnsiTheme="majorHAnsi" w:cstheme="majorHAnsi"/>
              </w:rPr>
            </w:pPr>
            <w:r w:rsidRPr="008E1899">
              <w:rPr>
                <w:rFonts w:asciiTheme="majorHAnsi" w:hAnsiTheme="majorHAnsi" w:cstheme="majorHAnsi"/>
                <w:sz w:val="17"/>
              </w:rPr>
              <w:t>Action plan required under 3.06; not listed as 3.07 threshold</w:t>
            </w:r>
          </w:p>
        </w:tc>
        <w:tc>
          <w:tcPr>
            <w:tcW w:w="2880" w:type="dxa"/>
            <w:tcMar>
              <w:top w:w="100" w:type="dxa"/>
              <w:left w:w="120" w:type="dxa"/>
              <w:bottom w:w="100" w:type="dxa"/>
              <w:right w:w="120" w:type="dxa"/>
            </w:tcMar>
            <w:vAlign w:val="center"/>
          </w:tcPr>
          <w:p w14:paraId="69C9CCA0" w14:textId="77777777" w:rsidR="0003663B" w:rsidRPr="008E1899" w:rsidRDefault="00000000">
            <w:pPr>
              <w:rPr>
                <w:rFonts w:asciiTheme="majorHAnsi" w:hAnsiTheme="majorHAnsi" w:cstheme="majorHAnsi"/>
              </w:rPr>
            </w:pPr>
            <w:r w:rsidRPr="008E1899">
              <w:rPr>
                <w:rFonts w:asciiTheme="majorHAnsi" w:hAnsiTheme="majorHAnsi" w:cstheme="majorHAnsi"/>
                <w:sz w:val="17"/>
              </w:rPr>
              <w:t>Target curriculum-based remediation by content section</w:t>
            </w:r>
          </w:p>
        </w:tc>
      </w:tr>
    </w:tbl>
    <w:p w14:paraId="31A35DDB"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Threshold sources: CoARC 2027 Standard 3.07, pp. 41–43. The 85%-of-national-mean content-section trigger is in Standard 3.06, p. 40 and should be treated as a required CQI action trigger rather than a 3.07 accreditation threshold.</w:t>
      </w:r>
    </w:p>
    <w:tbl>
      <w:tblPr>
        <w:tblW w:w="0" w:type="auto"/>
        <w:jc w:val="center"/>
        <w:tblLayout w:type="fixed"/>
        <w:tblLook w:val="04A0" w:firstRow="1" w:lastRow="0" w:firstColumn="1" w:lastColumn="0" w:noHBand="0" w:noVBand="1"/>
      </w:tblPr>
      <w:tblGrid>
        <w:gridCol w:w="10080"/>
      </w:tblGrid>
      <w:tr w:rsidR="0003663B" w:rsidRPr="008E1899" w14:paraId="79AACAA3" w14:textId="77777777">
        <w:trPr>
          <w:jc w:val="center"/>
        </w:trPr>
        <w:tc>
          <w:tcPr>
            <w:tcW w:w="10080" w:type="dxa"/>
            <w:shd w:val="clear" w:color="auto" w:fill="FFF7E8"/>
            <w:tcMar>
              <w:top w:w="140" w:type="dxa"/>
              <w:left w:w="160" w:type="dxa"/>
              <w:bottom w:w="140" w:type="dxa"/>
              <w:right w:w="160" w:type="dxa"/>
            </w:tcMar>
          </w:tcPr>
          <w:p w14:paraId="635466E9" w14:textId="77777777" w:rsidR="0003663B" w:rsidRPr="008E1899" w:rsidRDefault="00000000">
            <w:pPr>
              <w:rPr>
                <w:rFonts w:asciiTheme="majorHAnsi" w:hAnsiTheme="majorHAnsi" w:cstheme="majorHAnsi"/>
              </w:rPr>
            </w:pPr>
            <w:r w:rsidRPr="008E1899">
              <w:rPr>
                <w:rFonts w:asciiTheme="majorHAnsi" w:hAnsiTheme="majorHAnsi" w:cstheme="majorHAnsi"/>
                <w:b/>
                <w:color w:val="14495C"/>
              </w:rPr>
              <w:t>Do not confuse “minimum threshold” with “target performance.”</w:t>
            </w:r>
          </w:p>
          <w:p w14:paraId="37FCD602" w14:textId="77777777" w:rsidR="0003663B" w:rsidRPr="008E1899" w:rsidRDefault="00000000">
            <w:pPr>
              <w:spacing w:after="0"/>
              <w:rPr>
                <w:rFonts w:asciiTheme="majorHAnsi" w:hAnsiTheme="majorHAnsi" w:cstheme="majorHAnsi"/>
              </w:rPr>
            </w:pPr>
            <w:r w:rsidRPr="008E1899">
              <w:rPr>
                <w:rFonts w:asciiTheme="majorHAnsi" w:hAnsiTheme="majorHAnsi" w:cstheme="majorHAnsi"/>
              </w:rPr>
              <w:t>A program can be compliant and still have substantial opportunity for improvement. The 2025 CoARC Report on Accreditation reported national means of 84% for High Cut Score success and 92% for retention—well above the minimum thresholds. Use national and peer benchmarks to set internal goals above the compliance floor.</w:t>
            </w:r>
          </w:p>
        </w:tc>
      </w:tr>
    </w:tbl>
    <w:p w14:paraId="282CCD19" w14:textId="77777777" w:rsidR="0003663B" w:rsidRPr="008E1899" w:rsidRDefault="0003663B">
      <w:pPr>
        <w:spacing w:after="0"/>
        <w:rPr>
          <w:rFonts w:asciiTheme="majorHAnsi" w:hAnsiTheme="majorHAnsi" w:cstheme="majorHAnsi"/>
        </w:rPr>
      </w:pPr>
    </w:p>
    <w:p w14:paraId="59C4F18D" w14:textId="77777777" w:rsidR="0003663B" w:rsidRPr="008E1899" w:rsidRDefault="00000000">
      <w:pPr>
        <w:pStyle w:val="Heading1"/>
        <w:rPr>
          <w:rFonts w:cstheme="majorHAnsi"/>
        </w:rPr>
      </w:pPr>
      <w:r w:rsidRPr="008E1899">
        <w:rPr>
          <w:rFonts w:cstheme="majorHAnsi"/>
        </w:rPr>
        <w:lastRenderedPageBreak/>
        <w:t>2. When You Receive a Program Action Letter</w:t>
      </w:r>
    </w:p>
    <w:p w14:paraId="73739446" w14:textId="01F41797" w:rsidR="0003663B" w:rsidRPr="008E1899" w:rsidRDefault="00000000">
      <w:pPr>
        <w:rPr>
          <w:rFonts w:asciiTheme="majorHAnsi" w:hAnsiTheme="majorHAnsi" w:cstheme="majorHAnsi"/>
        </w:rPr>
      </w:pPr>
      <w:r w:rsidRPr="008E1899">
        <w:rPr>
          <w:rFonts w:asciiTheme="majorHAnsi" w:hAnsiTheme="majorHAnsi" w:cstheme="majorHAnsi"/>
        </w:rPr>
        <w:t xml:space="preserve">Treat the letter as the start of a documented accreditation dialogue, not as a one-time response. The strongest responses show that the program understands the problem, has tested plausible causes against </w:t>
      </w:r>
      <w:r w:rsidR="00187995" w:rsidRPr="008E1899">
        <w:rPr>
          <w:rFonts w:asciiTheme="majorHAnsi" w:hAnsiTheme="majorHAnsi" w:cstheme="majorHAnsi"/>
        </w:rPr>
        <w:t>the data, has implemented targeted changes, and is measuring whether those changes are working</w:t>
      </w:r>
      <w:r w:rsidRPr="008E1899">
        <w:rPr>
          <w:rFonts w:asciiTheme="majorHAnsi" w:hAnsiTheme="majorHAnsi" w:cstheme="majorHAnsi"/>
        </w:rPr>
        <w:t>.</w:t>
      </w:r>
    </w:p>
    <w:p w14:paraId="340C2A68"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1. Read the letter literally: </w:t>
      </w:r>
      <w:r w:rsidRPr="008E1899">
        <w:rPr>
          <w:rFonts w:asciiTheme="majorHAnsi" w:hAnsiTheme="majorHAnsi" w:cstheme="majorHAnsi"/>
        </w:rPr>
        <w:t>Identify every cited outcome, reporting period, required submission, due date, and supporting document. Build a compliance calendar immediately.</w:t>
      </w:r>
    </w:p>
    <w:p w14:paraId="51C39DB0" w14:textId="3A501AC3"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2. Contact CoARC promptly: </w:t>
      </w:r>
      <w:r w:rsidRPr="008E1899">
        <w:rPr>
          <w:rFonts w:asciiTheme="majorHAnsi" w:hAnsiTheme="majorHAnsi" w:cstheme="majorHAnsi"/>
        </w:rPr>
        <w:t xml:space="preserve">Standard 3.08 calls for engagement as soon as written notification is received. Confirm expectations with the Executive Office and assigned Referee </w:t>
      </w:r>
      <w:r w:rsidR="00F656F2" w:rsidRPr="008E1899">
        <w:rPr>
          <w:rFonts w:asciiTheme="majorHAnsi" w:hAnsiTheme="majorHAnsi" w:cstheme="majorHAnsi"/>
        </w:rPr>
        <w:t xml:space="preserve">(if applicable) </w:t>
      </w:r>
      <w:r w:rsidRPr="008E1899">
        <w:rPr>
          <w:rFonts w:asciiTheme="majorHAnsi" w:hAnsiTheme="majorHAnsi" w:cstheme="majorHAnsi"/>
        </w:rPr>
        <w:t>rather than relying on informal interpretations.</w:t>
      </w:r>
    </w:p>
    <w:p w14:paraId="588554D5"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3. Freeze and validate the data: </w:t>
      </w:r>
      <w:r w:rsidRPr="008E1899">
        <w:rPr>
          <w:rFonts w:asciiTheme="majorHAnsi" w:hAnsiTheme="majorHAnsi" w:cstheme="majorHAnsi"/>
        </w:rPr>
        <w:t>Reconcile cohort rosters, graduates, exam reports, survey files, exclusions, and calculations. Confirm that the problem is performance—not a denominator, coding, or reporting error.</w:t>
      </w:r>
    </w:p>
    <w:p w14:paraId="0E145ECD"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4. Conduct root-cause analysis: </w:t>
      </w:r>
      <w:r w:rsidRPr="008E1899">
        <w:rPr>
          <w:rFonts w:asciiTheme="majorHAnsi" w:hAnsiTheme="majorHAnsi" w:cstheme="majorHAnsi"/>
        </w:rPr>
        <w:t>Disaggregate the outcome by cohort, course, clinical site, admission profile, exam domain, timing, faculty assignment, and reason for attrition. Avoid choosing an intervention before the cause is reasonably supported.</w:t>
      </w:r>
    </w:p>
    <w:p w14:paraId="3E8595C5"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5. Build a measurable action plan: </w:t>
      </w:r>
      <w:r w:rsidRPr="008E1899">
        <w:rPr>
          <w:rFonts w:asciiTheme="majorHAnsi" w:hAnsiTheme="majorHAnsi" w:cstheme="majorHAnsi"/>
        </w:rPr>
        <w:t>For every action, specify owner, start date, expected completion, resources, process metric, outcome metric, review date, and decision rule.</w:t>
      </w:r>
    </w:p>
    <w:p w14:paraId="25CF825B"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6. Document implementation: </w:t>
      </w:r>
      <w:r w:rsidRPr="008E1899">
        <w:rPr>
          <w:rFonts w:asciiTheme="majorHAnsi" w:hAnsiTheme="majorHAnsi" w:cstheme="majorHAnsi"/>
        </w:rPr>
        <w:t>Minutes, attendance, revised syllabi, tutoring logs, curriculum maps, faculty development, advisory committee recommendations, and student communications should create an auditable trail.</w:t>
      </w:r>
    </w:p>
    <w:p w14:paraId="24C8A418"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7. Evaluate and adjust: </w:t>
      </w:r>
      <w:r w:rsidRPr="008E1899">
        <w:rPr>
          <w:rFonts w:asciiTheme="majorHAnsi" w:hAnsiTheme="majorHAnsi" w:cstheme="majorHAnsi"/>
        </w:rPr>
        <w:t>Compare post-intervention results with baseline and interim targets. If the intervention is not working, document the decision to modify it rather than simply continuing it.</w:t>
      </w:r>
    </w:p>
    <w:p w14:paraId="404BE7B0" w14:textId="26C33F73"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 3.08, pp. 43–44.</w:t>
      </w:r>
    </w:p>
    <w:p w14:paraId="3B0422E7" w14:textId="77777777" w:rsidR="0003663B" w:rsidRPr="008E1899" w:rsidRDefault="00000000">
      <w:pPr>
        <w:pStyle w:val="Heading2"/>
        <w:rPr>
          <w:rFonts w:cstheme="majorHAnsi"/>
        </w:rPr>
      </w:pPr>
      <w:r w:rsidRPr="008E1899">
        <w:rPr>
          <w:rFonts w:cstheme="majorHAnsi"/>
        </w:rPr>
        <w:t>A Practical Action-Plan Framework</w:t>
      </w:r>
    </w:p>
    <w:tbl>
      <w:tblPr>
        <w:tblW w:w="0" w:type="auto"/>
        <w:jc w:val="center"/>
        <w:tblLayout w:type="fixed"/>
        <w:tblLook w:val="04A0" w:firstRow="1" w:lastRow="0" w:firstColumn="1" w:lastColumn="0" w:noHBand="0" w:noVBand="1"/>
      </w:tblPr>
      <w:tblGrid>
        <w:gridCol w:w="2520"/>
        <w:gridCol w:w="2592"/>
        <w:gridCol w:w="2592"/>
        <w:gridCol w:w="2520"/>
      </w:tblGrid>
      <w:tr w:rsidR="0003663B" w:rsidRPr="00B2239D" w14:paraId="7F799C92" w14:textId="77777777">
        <w:trPr>
          <w:tblHeader/>
          <w:jc w:val="center"/>
        </w:trPr>
        <w:tc>
          <w:tcPr>
            <w:tcW w:w="2520" w:type="dxa"/>
            <w:shd w:val="clear" w:color="auto" w:fill="1C6B75"/>
            <w:tcMar>
              <w:top w:w="100" w:type="dxa"/>
              <w:left w:w="120" w:type="dxa"/>
              <w:bottom w:w="100" w:type="dxa"/>
              <w:right w:w="120" w:type="dxa"/>
            </w:tcMar>
          </w:tcPr>
          <w:p w14:paraId="28BBDB33" w14:textId="77777777" w:rsidR="0003663B" w:rsidRPr="00B2239D" w:rsidRDefault="00000000">
            <w:pPr>
              <w:rPr>
                <w:rFonts w:asciiTheme="majorHAnsi" w:hAnsiTheme="majorHAnsi" w:cstheme="majorHAnsi"/>
                <w:sz w:val="20"/>
                <w:szCs w:val="28"/>
              </w:rPr>
            </w:pPr>
            <w:r w:rsidRPr="00B2239D">
              <w:rPr>
                <w:rFonts w:asciiTheme="majorHAnsi" w:hAnsiTheme="majorHAnsi" w:cstheme="majorHAnsi"/>
                <w:b/>
                <w:color w:val="FFFFFF"/>
                <w:sz w:val="20"/>
                <w:szCs w:val="28"/>
              </w:rPr>
              <w:t>Element</w:t>
            </w:r>
          </w:p>
        </w:tc>
        <w:tc>
          <w:tcPr>
            <w:tcW w:w="2520" w:type="dxa"/>
            <w:shd w:val="clear" w:color="auto" w:fill="1C6B75"/>
            <w:tcMar>
              <w:top w:w="100" w:type="dxa"/>
              <w:left w:w="120" w:type="dxa"/>
              <w:bottom w:w="100" w:type="dxa"/>
              <w:right w:w="120" w:type="dxa"/>
            </w:tcMar>
          </w:tcPr>
          <w:p w14:paraId="49D500DA" w14:textId="77777777" w:rsidR="0003663B" w:rsidRPr="00B2239D" w:rsidRDefault="00000000">
            <w:pPr>
              <w:rPr>
                <w:rFonts w:asciiTheme="majorHAnsi" w:hAnsiTheme="majorHAnsi" w:cstheme="majorHAnsi"/>
                <w:sz w:val="20"/>
                <w:szCs w:val="28"/>
              </w:rPr>
            </w:pPr>
            <w:r w:rsidRPr="00B2239D">
              <w:rPr>
                <w:rFonts w:asciiTheme="majorHAnsi" w:hAnsiTheme="majorHAnsi" w:cstheme="majorHAnsi"/>
                <w:b/>
                <w:color w:val="FFFFFF"/>
                <w:sz w:val="20"/>
                <w:szCs w:val="28"/>
              </w:rPr>
              <w:t>Question to answer</w:t>
            </w:r>
          </w:p>
        </w:tc>
        <w:tc>
          <w:tcPr>
            <w:tcW w:w="2520" w:type="dxa"/>
            <w:shd w:val="clear" w:color="auto" w:fill="1C6B75"/>
            <w:tcMar>
              <w:top w:w="100" w:type="dxa"/>
              <w:left w:w="120" w:type="dxa"/>
              <w:bottom w:w="100" w:type="dxa"/>
              <w:right w:w="120" w:type="dxa"/>
            </w:tcMar>
          </w:tcPr>
          <w:p w14:paraId="0B8E966C" w14:textId="77777777" w:rsidR="0003663B" w:rsidRPr="00B2239D" w:rsidRDefault="00000000">
            <w:pPr>
              <w:rPr>
                <w:rFonts w:asciiTheme="majorHAnsi" w:hAnsiTheme="majorHAnsi" w:cstheme="majorHAnsi"/>
                <w:sz w:val="20"/>
                <w:szCs w:val="28"/>
              </w:rPr>
            </w:pPr>
            <w:r w:rsidRPr="00B2239D">
              <w:rPr>
                <w:rFonts w:asciiTheme="majorHAnsi" w:hAnsiTheme="majorHAnsi" w:cstheme="majorHAnsi"/>
                <w:b/>
                <w:color w:val="FFFFFF"/>
                <w:sz w:val="20"/>
                <w:szCs w:val="28"/>
              </w:rPr>
              <w:t>Weak example</w:t>
            </w:r>
          </w:p>
        </w:tc>
        <w:tc>
          <w:tcPr>
            <w:tcW w:w="2520" w:type="dxa"/>
            <w:shd w:val="clear" w:color="auto" w:fill="1C6B75"/>
            <w:tcMar>
              <w:top w:w="100" w:type="dxa"/>
              <w:left w:w="120" w:type="dxa"/>
              <w:bottom w:w="100" w:type="dxa"/>
              <w:right w:w="120" w:type="dxa"/>
            </w:tcMar>
          </w:tcPr>
          <w:p w14:paraId="782D5DEF" w14:textId="77777777" w:rsidR="0003663B" w:rsidRPr="00B2239D" w:rsidRDefault="00000000">
            <w:pPr>
              <w:rPr>
                <w:rFonts w:asciiTheme="majorHAnsi" w:hAnsiTheme="majorHAnsi" w:cstheme="majorHAnsi"/>
                <w:sz w:val="20"/>
                <w:szCs w:val="28"/>
              </w:rPr>
            </w:pPr>
            <w:r w:rsidRPr="00B2239D">
              <w:rPr>
                <w:rFonts w:asciiTheme="majorHAnsi" w:hAnsiTheme="majorHAnsi" w:cstheme="majorHAnsi"/>
                <w:b/>
                <w:color w:val="FFFFFF"/>
                <w:sz w:val="20"/>
                <w:szCs w:val="28"/>
              </w:rPr>
              <w:t>Stronger example</w:t>
            </w:r>
          </w:p>
        </w:tc>
      </w:tr>
      <w:tr w:rsidR="0003663B" w:rsidRPr="00B2239D" w14:paraId="3B9725C4" w14:textId="77777777">
        <w:trPr>
          <w:jc w:val="center"/>
        </w:trPr>
        <w:tc>
          <w:tcPr>
            <w:tcW w:w="1944" w:type="dxa"/>
            <w:tcMar>
              <w:top w:w="100" w:type="dxa"/>
              <w:left w:w="120" w:type="dxa"/>
              <w:bottom w:w="100" w:type="dxa"/>
              <w:right w:w="120" w:type="dxa"/>
            </w:tcMar>
          </w:tcPr>
          <w:p w14:paraId="77788BE4"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Problem statement</w:t>
            </w:r>
          </w:p>
        </w:tc>
        <w:tc>
          <w:tcPr>
            <w:tcW w:w="2592" w:type="dxa"/>
            <w:tcMar>
              <w:top w:w="100" w:type="dxa"/>
              <w:left w:w="120" w:type="dxa"/>
              <w:bottom w:w="100" w:type="dxa"/>
              <w:right w:w="120" w:type="dxa"/>
            </w:tcMar>
          </w:tcPr>
          <w:p w14:paraId="669B9799"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What exactly is below threshold?</w:t>
            </w:r>
          </w:p>
        </w:tc>
        <w:tc>
          <w:tcPr>
            <w:tcW w:w="2592" w:type="dxa"/>
            <w:tcMar>
              <w:top w:w="100" w:type="dxa"/>
              <w:left w:w="120" w:type="dxa"/>
              <w:bottom w:w="100" w:type="dxa"/>
              <w:right w:w="120" w:type="dxa"/>
            </w:tcMar>
          </w:tcPr>
          <w:p w14:paraId="7A13A677"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Retention is low.</w:t>
            </w:r>
          </w:p>
        </w:tc>
        <w:tc>
          <w:tcPr>
            <w:tcW w:w="2448" w:type="dxa"/>
            <w:tcMar>
              <w:top w:w="100" w:type="dxa"/>
              <w:left w:w="120" w:type="dxa"/>
              <w:bottom w:w="100" w:type="dxa"/>
              <w:right w:w="120" w:type="dxa"/>
            </w:tcMar>
          </w:tcPr>
          <w:p w14:paraId="5EE613EC" w14:textId="49C623F2"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 xml:space="preserve">Three-year retention is 66%; 70% is required. Most losses occur after </w:t>
            </w:r>
            <w:r w:rsidR="00B2239D">
              <w:rPr>
                <w:rFonts w:asciiTheme="majorHAnsi" w:hAnsiTheme="majorHAnsi" w:cstheme="majorHAnsi"/>
                <w:sz w:val="18"/>
                <w:szCs w:val="24"/>
              </w:rPr>
              <w:t xml:space="preserve">the first-semester cardiopulmonary pharmacology course and before the </w:t>
            </w:r>
            <w:r w:rsidRPr="00B2239D">
              <w:rPr>
                <w:rFonts w:asciiTheme="majorHAnsi" w:hAnsiTheme="majorHAnsi" w:cstheme="majorHAnsi"/>
                <w:sz w:val="18"/>
                <w:szCs w:val="24"/>
              </w:rPr>
              <w:t>first clinical rotation.</w:t>
            </w:r>
          </w:p>
        </w:tc>
      </w:tr>
      <w:tr w:rsidR="0003663B" w:rsidRPr="00B2239D" w14:paraId="43FA4E1D" w14:textId="77777777">
        <w:trPr>
          <w:jc w:val="center"/>
        </w:trPr>
        <w:tc>
          <w:tcPr>
            <w:tcW w:w="1944" w:type="dxa"/>
            <w:shd w:val="clear" w:color="auto" w:fill="F7F9FA"/>
            <w:tcMar>
              <w:top w:w="100" w:type="dxa"/>
              <w:left w:w="120" w:type="dxa"/>
              <w:bottom w:w="100" w:type="dxa"/>
              <w:right w:w="120" w:type="dxa"/>
            </w:tcMar>
          </w:tcPr>
          <w:p w14:paraId="3090B2A9"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Cause evidence</w:t>
            </w:r>
          </w:p>
        </w:tc>
        <w:tc>
          <w:tcPr>
            <w:tcW w:w="2592" w:type="dxa"/>
            <w:shd w:val="clear" w:color="auto" w:fill="F7F9FA"/>
            <w:tcMar>
              <w:top w:w="100" w:type="dxa"/>
              <w:left w:w="120" w:type="dxa"/>
              <w:bottom w:w="100" w:type="dxa"/>
              <w:right w:w="120" w:type="dxa"/>
            </w:tcMar>
          </w:tcPr>
          <w:p w14:paraId="3A22CACC"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 xml:space="preserve">What data </w:t>
            </w:r>
            <w:proofErr w:type="gramStart"/>
            <w:r w:rsidRPr="00B2239D">
              <w:rPr>
                <w:rFonts w:asciiTheme="majorHAnsi" w:hAnsiTheme="majorHAnsi" w:cstheme="majorHAnsi"/>
                <w:sz w:val="18"/>
                <w:szCs w:val="24"/>
              </w:rPr>
              <w:t>support</w:t>
            </w:r>
            <w:proofErr w:type="gramEnd"/>
            <w:r w:rsidRPr="00B2239D">
              <w:rPr>
                <w:rFonts w:asciiTheme="majorHAnsi" w:hAnsiTheme="majorHAnsi" w:cstheme="majorHAnsi"/>
                <w:sz w:val="18"/>
                <w:szCs w:val="24"/>
              </w:rPr>
              <w:t xml:space="preserve"> the cause?</w:t>
            </w:r>
          </w:p>
        </w:tc>
        <w:tc>
          <w:tcPr>
            <w:tcW w:w="2592" w:type="dxa"/>
            <w:shd w:val="clear" w:color="auto" w:fill="F7F9FA"/>
            <w:tcMar>
              <w:top w:w="100" w:type="dxa"/>
              <w:left w:w="120" w:type="dxa"/>
              <w:bottom w:w="100" w:type="dxa"/>
              <w:right w:w="120" w:type="dxa"/>
            </w:tcMar>
          </w:tcPr>
          <w:p w14:paraId="63CABFEF"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Students are struggling.</w:t>
            </w:r>
          </w:p>
        </w:tc>
        <w:tc>
          <w:tcPr>
            <w:tcW w:w="2448" w:type="dxa"/>
            <w:shd w:val="clear" w:color="auto" w:fill="F7F9FA"/>
            <w:tcMar>
              <w:top w:w="100" w:type="dxa"/>
              <w:left w:w="120" w:type="dxa"/>
              <w:bottom w:w="100" w:type="dxa"/>
              <w:right w:w="120" w:type="dxa"/>
            </w:tcMar>
          </w:tcPr>
          <w:p w14:paraId="74322D21" w14:textId="3F7B3883"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 xml:space="preserve">Withdrawal interviews, course grades, and LMS data show </w:t>
            </w:r>
            <w:r w:rsidR="004A7ED5">
              <w:rPr>
                <w:rFonts w:asciiTheme="majorHAnsi" w:hAnsiTheme="majorHAnsi" w:cstheme="majorHAnsi"/>
                <w:sz w:val="18"/>
                <w:szCs w:val="24"/>
              </w:rPr>
              <w:t>that 72% of attrition cases had a D/F or withdrew from</w:t>
            </w:r>
            <w:r w:rsidRPr="00B2239D">
              <w:rPr>
                <w:rFonts w:asciiTheme="majorHAnsi" w:hAnsiTheme="majorHAnsi" w:cstheme="majorHAnsi"/>
                <w:sz w:val="18"/>
                <w:szCs w:val="24"/>
              </w:rPr>
              <w:t xml:space="preserve"> the same two courses before leaving.</w:t>
            </w:r>
          </w:p>
        </w:tc>
      </w:tr>
      <w:tr w:rsidR="0003663B" w:rsidRPr="00B2239D" w14:paraId="18FC413E" w14:textId="77777777">
        <w:trPr>
          <w:jc w:val="center"/>
        </w:trPr>
        <w:tc>
          <w:tcPr>
            <w:tcW w:w="1944" w:type="dxa"/>
            <w:tcMar>
              <w:top w:w="100" w:type="dxa"/>
              <w:left w:w="120" w:type="dxa"/>
              <w:bottom w:w="100" w:type="dxa"/>
              <w:right w:w="120" w:type="dxa"/>
            </w:tcMar>
          </w:tcPr>
          <w:p w14:paraId="74938393"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Intervention</w:t>
            </w:r>
          </w:p>
        </w:tc>
        <w:tc>
          <w:tcPr>
            <w:tcW w:w="2592" w:type="dxa"/>
            <w:tcMar>
              <w:top w:w="100" w:type="dxa"/>
              <w:left w:w="120" w:type="dxa"/>
              <w:bottom w:w="100" w:type="dxa"/>
              <w:right w:w="120" w:type="dxa"/>
            </w:tcMar>
          </w:tcPr>
          <w:p w14:paraId="5A2BA4D3"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What will change?</w:t>
            </w:r>
          </w:p>
        </w:tc>
        <w:tc>
          <w:tcPr>
            <w:tcW w:w="2592" w:type="dxa"/>
            <w:tcMar>
              <w:top w:w="100" w:type="dxa"/>
              <w:left w:w="120" w:type="dxa"/>
              <w:bottom w:w="100" w:type="dxa"/>
              <w:right w:w="120" w:type="dxa"/>
            </w:tcMar>
          </w:tcPr>
          <w:p w14:paraId="575F0765"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Provide tutoring.</w:t>
            </w:r>
          </w:p>
        </w:tc>
        <w:tc>
          <w:tcPr>
            <w:tcW w:w="2448" w:type="dxa"/>
            <w:tcMar>
              <w:top w:w="100" w:type="dxa"/>
              <w:left w:w="120" w:type="dxa"/>
              <w:bottom w:w="100" w:type="dxa"/>
              <w:right w:w="120" w:type="dxa"/>
            </w:tcMar>
          </w:tcPr>
          <w:p w14:paraId="73AB983D"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 xml:space="preserve">Add mandatory early-alert review after Exam 1, embedded tutoring twice weekly, and a structured remediation pathway tied to </w:t>
            </w:r>
            <w:r w:rsidRPr="00B2239D">
              <w:rPr>
                <w:rFonts w:asciiTheme="majorHAnsi" w:hAnsiTheme="majorHAnsi" w:cstheme="majorHAnsi"/>
                <w:sz w:val="18"/>
                <w:szCs w:val="24"/>
              </w:rPr>
              <w:lastRenderedPageBreak/>
              <w:t>defined score triggers.</w:t>
            </w:r>
          </w:p>
        </w:tc>
      </w:tr>
      <w:tr w:rsidR="0003663B" w:rsidRPr="00B2239D" w14:paraId="5D0DFE57" w14:textId="77777777">
        <w:trPr>
          <w:jc w:val="center"/>
        </w:trPr>
        <w:tc>
          <w:tcPr>
            <w:tcW w:w="1944" w:type="dxa"/>
            <w:shd w:val="clear" w:color="auto" w:fill="F7F9FA"/>
            <w:tcMar>
              <w:top w:w="100" w:type="dxa"/>
              <w:left w:w="120" w:type="dxa"/>
              <w:bottom w:w="100" w:type="dxa"/>
              <w:right w:w="120" w:type="dxa"/>
            </w:tcMar>
          </w:tcPr>
          <w:p w14:paraId="205F9C5A"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lastRenderedPageBreak/>
              <w:t>Measure</w:t>
            </w:r>
          </w:p>
        </w:tc>
        <w:tc>
          <w:tcPr>
            <w:tcW w:w="2592" w:type="dxa"/>
            <w:shd w:val="clear" w:color="auto" w:fill="F7F9FA"/>
            <w:tcMar>
              <w:top w:w="100" w:type="dxa"/>
              <w:left w:w="120" w:type="dxa"/>
              <w:bottom w:w="100" w:type="dxa"/>
              <w:right w:w="120" w:type="dxa"/>
            </w:tcMar>
          </w:tcPr>
          <w:p w14:paraId="0EFDDE59"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How will we know?</w:t>
            </w:r>
          </w:p>
        </w:tc>
        <w:tc>
          <w:tcPr>
            <w:tcW w:w="2592" w:type="dxa"/>
            <w:shd w:val="clear" w:color="auto" w:fill="F7F9FA"/>
            <w:tcMar>
              <w:top w:w="100" w:type="dxa"/>
              <w:left w:w="120" w:type="dxa"/>
              <w:bottom w:w="100" w:type="dxa"/>
              <w:right w:w="120" w:type="dxa"/>
            </w:tcMar>
          </w:tcPr>
          <w:p w14:paraId="3C47B1E8"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Monitor progress.</w:t>
            </w:r>
          </w:p>
        </w:tc>
        <w:tc>
          <w:tcPr>
            <w:tcW w:w="2448" w:type="dxa"/>
            <w:shd w:val="clear" w:color="auto" w:fill="F7F9FA"/>
            <w:tcMar>
              <w:top w:w="100" w:type="dxa"/>
              <w:left w:w="120" w:type="dxa"/>
              <w:bottom w:w="100" w:type="dxa"/>
              <w:right w:w="120" w:type="dxa"/>
            </w:tcMar>
          </w:tcPr>
          <w:p w14:paraId="2580E640"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Process: ≥90% of flagged students contacted within 5 business days. Outcome: first-year persistence ≥80% in next cohort; three-year retention trajectory reaches ≥70%.</w:t>
            </w:r>
          </w:p>
        </w:tc>
      </w:tr>
      <w:tr w:rsidR="0003663B" w:rsidRPr="00B2239D" w14:paraId="1D8FCE20" w14:textId="77777777">
        <w:trPr>
          <w:jc w:val="center"/>
        </w:trPr>
        <w:tc>
          <w:tcPr>
            <w:tcW w:w="1944" w:type="dxa"/>
            <w:tcMar>
              <w:top w:w="100" w:type="dxa"/>
              <w:left w:w="120" w:type="dxa"/>
              <w:bottom w:w="100" w:type="dxa"/>
              <w:right w:w="120" w:type="dxa"/>
            </w:tcMar>
          </w:tcPr>
          <w:p w14:paraId="7CE32851"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Review rule</w:t>
            </w:r>
          </w:p>
        </w:tc>
        <w:tc>
          <w:tcPr>
            <w:tcW w:w="2592" w:type="dxa"/>
            <w:tcMar>
              <w:top w:w="100" w:type="dxa"/>
              <w:left w:w="120" w:type="dxa"/>
              <w:bottom w:w="100" w:type="dxa"/>
              <w:right w:w="120" w:type="dxa"/>
            </w:tcMar>
          </w:tcPr>
          <w:p w14:paraId="318EAE07"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What happens if it fails?</w:t>
            </w:r>
          </w:p>
        </w:tc>
        <w:tc>
          <w:tcPr>
            <w:tcW w:w="2592" w:type="dxa"/>
            <w:tcMar>
              <w:top w:w="100" w:type="dxa"/>
              <w:left w:w="120" w:type="dxa"/>
              <w:bottom w:w="100" w:type="dxa"/>
              <w:right w:w="120" w:type="dxa"/>
            </w:tcMar>
          </w:tcPr>
          <w:p w14:paraId="49B70D19"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Reassess annually.</w:t>
            </w:r>
          </w:p>
        </w:tc>
        <w:tc>
          <w:tcPr>
            <w:tcW w:w="2448" w:type="dxa"/>
            <w:tcMar>
              <w:top w:w="100" w:type="dxa"/>
              <w:left w:w="120" w:type="dxa"/>
              <w:bottom w:w="100" w:type="dxa"/>
              <w:right w:w="120" w:type="dxa"/>
            </w:tcMar>
          </w:tcPr>
          <w:p w14:paraId="0E7E47A9" w14:textId="77777777" w:rsidR="0003663B" w:rsidRPr="00B2239D" w:rsidRDefault="00000000">
            <w:pPr>
              <w:rPr>
                <w:rFonts w:asciiTheme="majorHAnsi" w:hAnsiTheme="majorHAnsi" w:cstheme="majorHAnsi"/>
                <w:sz w:val="18"/>
                <w:szCs w:val="24"/>
              </w:rPr>
            </w:pPr>
            <w:r w:rsidRPr="00B2239D">
              <w:rPr>
                <w:rFonts w:asciiTheme="majorHAnsi" w:hAnsiTheme="majorHAnsi" w:cstheme="majorHAnsi"/>
                <w:sz w:val="18"/>
                <w:szCs w:val="24"/>
              </w:rPr>
              <w:t>Faculty review after each term; if course pass rate remains &lt;80% for two consecutive offerings, initiate course-level curriculum review and instructional redesign.</w:t>
            </w:r>
          </w:p>
        </w:tc>
      </w:tr>
    </w:tbl>
    <w:p w14:paraId="30E37027" w14:textId="77777777" w:rsidR="0003663B" w:rsidRPr="008E1899" w:rsidRDefault="00000000">
      <w:pPr>
        <w:pStyle w:val="Heading1"/>
        <w:rPr>
          <w:rFonts w:cstheme="majorHAnsi"/>
        </w:rPr>
      </w:pPr>
      <w:r w:rsidRPr="008E1899">
        <w:rPr>
          <w:rFonts w:cstheme="majorHAnsi"/>
        </w:rPr>
        <w:t>3. Improving High Cut Score Success</w:t>
      </w:r>
    </w:p>
    <w:p w14:paraId="2052496F" w14:textId="77777777" w:rsidR="0003663B" w:rsidRPr="008E1899" w:rsidRDefault="00000000">
      <w:pPr>
        <w:rPr>
          <w:rFonts w:asciiTheme="majorHAnsi" w:hAnsiTheme="majorHAnsi" w:cstheme="majorHAnsi"/>
        </w:rPr>
      </w:pPr>
      <w:r w:rsidRPr="008E1899">
        <w:rPr>
          <w:rFonts w:asciiTheme="majorHAnsi" w:hAnsiTheme="majorHAnsi" w:cstheme="majorHAnsi"/>
        </w:rPr>
        <w:t>The CoARC threshold is 60% based on a three-year average. The metric is the percentage of program graduates—not merely test takers—who achieve the NBRC High Cut Score. Under Standard 3.06, programs must also analyze each of the three examination content sections and implement a curriculum-based action plan whenever performance is below 85% of the national mean for that section.</w:t>
      </w:r>
    </w:p>
    <w:p w14:paraId="0FD7E2D2"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Standards 3.06–3.07, pp. 40–42.</w:t>
      </w:r>
    </w:p>
    <w:p w14:paraId="68254E4E" w14:textId="77777777" w:rsidR="0003663B" w:rsidRPr="008E1899" w:rsidRDefault="00000000">
      <w:pPr>
        <w:pStyle w:val="Heading2"/>
        <w:rPr>
          <w:rFonts w:cstheme="majorHAnsi"/>
        </w:rPr>
      </w:pPr>
      <w:r w:rsidRPr="008E1899">
        <w:rPr>
          <w:rFonts w:cstheme="majorHAnsi"/>
        </w:rPr>
        <w:t>Diagnose before changing the curriculum</w:t>
      </w:r>
    </w:p>
    <w:p w14:paraId="338D7E8C" w14:textId="563C9407" w:rsidR="00325D01" w:rsidRPr="008E1899" w:rsidRDefault="00325D01">
      <w:pPr>
        <w:pStyle w:val="ListBullet"/>
        <w:rPr>
          <w:rFonts w:asciiTheme="majorHAnsi" w:hAnsiTheme="majorHAnsi" w:cstheme="majorHAnsi"/>
        </w:rPr>
      </w:pPr>
      <w:r w:rsidRPr="008E1899">
        <w:rPr>
          <w:rFonts w:asciiTheme="majorHAnsi" w:hAnsiTheme="majorHAnsi" w:cstheme="majorHAnsi"/>
        </w:rPr>
        <w:t>F</w:t>
      </w:r>
      <w:r w:rsidRPr="008E1899">
        <w:rPr>
          <w:rFonts w:asciiTheme="majorHAnsi" w:hAnsiTheme="majorHAnsi" w:cstheme="majorHAnsi"/>
        </w:rPr>
        <w:t>or exam-based outcomes deficiencies, use the NBRC Annual School Summary to determine whether diminished participation is negatively impacting the outcome, whether the issue is poor performance, or whether both factors are contributing.</w:t>
      </w:r>
    </w:p>
    <w:p w14:paraId="7A39F321" w14:textId="32A9B4E5" w:rsidR="0003663B" w:rsidRPr="008E1899" w:rsidRDefault="00000000">
      <w:pPr>
        <w:pStyle w:val="ListBullet"/>
        <w:rPr>
          <w:rFonts w:asciiTheme="majorHAnsi" w:hAnsiTheme="majorHAnsi" w:cstheme="majorHAnsi"/>
        </w:rPr>
      </w:pPr>
      <w:r w:rsidRPr="008E1899">
        <w:rPr>
          <w:rFonts w:asciiTheme="majorHAnsi" w:hAnsiTheme="majorHAnsi" w:cstheme="majorHAnsi"/>
        </w:rPr>
        <w:t>Compare NBRC school and graduate performance reports across three years; look for persistent content-domain patterns rather than reacting to a single cohort.</w:t>
      </w:r>
    </w:p>
    <w:p w14:paraId="1C312F4D"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Map weak exam content to specific courses, learning objectives, lab/clinical experiences, faculty assignments, and assessment items.</w:t>
      </w:r>
    </w:p>
    <w:p w14:paraId="25F06F9F"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Review whether program exams measure application and clinical decision-making at a level comparable to the credentialing exam.</w:t>
      </w:r>
    </w:p>
    <w:p w14:paraId="13F6E7A7"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Check whether students who struggle on the exam also showed earlier warning signs in course exams, simulations, or clinical evaluations.</w:t>
      </w:r>
    </w:p>
    <w:p w14:paraId="0221B0B0" w14:textId="77777777" w:rsidR="0003663B" w:rsidRPr="008E1899" w:rsidRDefault="00000000">
      <w:pPr>
        <w:pStyle w:val="Heading2"/>
        <w:rPr>
          <w:rFonts w:cstheme="majorHAnsi"/>
        </w:rPr>
      </w:pPr>
      <w:r w:rsidRPr="008E1899">
        <w:rPr>
          <w:rFonts w:cstheme="majorHAnsi"/>
        </w:rPr>
        <w:t>High-yield interventions</w:t>
      </w:r>
    </w:p>
    <w:p w14:paraId="6183FA32"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a formal curriculum map that links courses, objectives, NBRC content outlines, and local practice needs; update it when gaps or redundancy are found.</w:t>
      </w:r>
    </w:p>
    <w:p w14:paraId="1F223B17"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Perform exam-item analysis and blueprint major course exams to the content outline and cognitive level expected at entry to practice.</w:t>
      </w:r>
    </w:p>
    <w:p w14:paraId="7F41B38C"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Create structured remediation after failed competencies or low benchmark performance, with reassessment rather than optional review alone.</w:t>
      </w:r>
    </w:p>
    <w:p w14:paraId="16920C08"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lastRenderedPageBreak/>
        <w:t>Start board-preparation activities before the final weeks of the program: spaced retrieval, cumulative testing, test-taking strategy, and targeted review by domain.</w:t>
      </w:r>
    </w:p>
    <w:p w14:paraId="7BE44048"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faculty development to improve assessment quality, active learning, clinical reasoning instruction, and consistency across sequential courses.</w:t>
      </w:r>
    </w:p>
    <w:p w14:paraId="7E82FEE4" w14:textId="77777777" w:rsidR="0003663B" w:rsidRPr="008E1899" w:rsidRDefault="00000000">
      <w:pPr>
        <w:pStyle w:val="Heading2"/>
        <w:rPr>
          <w:rFonts w:cstheme="majorHAnsi"/>
        </w:rPr>
      </w:pPr>
      <w:r w:rsidRPr="008E1899">
        <w:rPr>
          <w:rFonts w:cstheme="majorHAnsi"/>
        </w:rPr>
        <w:t>Evidence to keep</w:t>
      </w:r>
    </w:p>
    <w:p w14:paraId="07F211A8" w14:textId="0FB1EEB7" w:rsidR="0003663B" w:rsidRPr="008E1899" w:rsidRDefault="00000000" w:rsidP="00690198">
      <w:pPr>
        <w:pStyle w:val="ListBullet"/>
        <w:rPr>
          <w:rFonts w:asciiTheme="majorHAnsi" w:hAnsiTheme="majorHAnsi" w:cstheme="majorHAnsi"/>
        </w:rPr>
      </w:pPr>
      <w:r w:rsidRPr="008E1899">
        <w:rPr>
          <w:rFonts w:asciiTheme="majorHAnsi" w:hAnsiTheme="majorHAnsi" w:cstheme="majorHAnsi"/>
        </w:rPr>
        <w:t>Content-outline comparison/curriculum map; faculty and advisory committee minutes; item analyses; revised exams or rubrics; remediation protocols and completion data; student benchmark results; follow-up NBRC performance.</w:t>
      </w:r>
      <w:r w:rsidR="00690198" w:rsidRPr="008E1899">
        <w:rPr>
          <w:rFonts w:asciiTheme="majorHAnsi" w:hAnsiTheme="majorHAnsi" w:cstheme="majorHAnsi"/>
        </w:rPr>
        <w:t xml:space="preserve"> </w:t>
      </w:r>
    </w:p>
    <w:p w14:paraId="6C9C1407" w14:textId="77777777" w:rsidR="0003663B" w:rsidRPr="008E1899" w:rsidRDefault="00000000">
      <w:pPr>
        <w:pStyle w:val="Heading1"/>
        <w:rPr>
          <w:rFonts w:cstheme="majorHAnsi"/>
        </w:rPr>
      </w:pPr>
      <w:r w:rsidRPr="008E1899">
        <w:rPr>
          <w:rFonts w:cstheme="majorHAnsi"/>
        </w:rPr>
        <w:t>4. Improving Retention</w:t>
      </w:r>
    </w:p>
    <w:p w14:paraId="3AB931A4" w14:textId="77777777" w:rsidR="0003663B" w:rsidRPr="008E1899" w:rsidRDefault="00000000">
      <w:pPr>
        <w:rPr>
          <w:rFonts w:asciiTheme="majorHAnsi" w:hAnsiTheme="majorHAnsi" w:cstheme="majorHAnsi"/>
        </w:rPr>
      </w:pPr>
      <w:r w:rsidRPr="008E1899">
        <w:rPr>
          <w:rFonts w:asciiTheme="majorHAnsi" w:hAnsiTheme="majorHAnsi" w:cstheme="majorHAnsi"/>
        </w:rPr>
        <w:t>The CoARC retention threshold is 70% based on a three-year average. The CoARC definition starts with enrollment in the first core respiratory care course available only to students matriculating into the program and includes students who leave for academic reasons, professional/ethical violations, or program/institutional policy dismissals. Because the definition may differ from the institution’s retention metric, Program Directors should maintain a CoARC-specific cohort tracker.</w:t>
      </w:r>
    </w:p>
    <w:p w14:paraId="6DB23ADD"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 3.07, p. 42.</w:t>
      </w:r>
    </w:p>
    <w:p w14:paraId="69892BC4" w14:textId="77777777" w:rsidR="0003663B" w:rsidRPr="008E1899" w:rsidRDefault="00000000">
      <w:pPr>
        <w:pStyle w:val="Heading2"/>
        <w:rPr>
          <w:rFonts w:cstheme="majorHAnsi"/>
        </w:rPr>
      </w:pPr>
      <w:r w:rsidRPr="008E1899">
        <w:rPr>
          <w:rFonts w:cstheme="majorHAnsi"/>
        </w:rPr>
        <w:t>Retention Improvement Playbook</w:t>
      </w:r>
    </w:p>
    <w:p w14:paraId="4E60E53B"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Admissions and onboarding: </w:t>
      </w:r>
      <w:r w:rsidRPr="008E1899">
        <w:rPr>
          <w:rFonts w:asciiTheme="majorHAnsi" w:hAnsiTheme="majorHAnsi" w:cstheme="majorHAnsi"/>
        </w:rPr>
        <w:t>Use a holistic review aligned with institutional policy; provide clear expectations, prerequisite advising, orientation, and bridge support for known academic gaps.</w:t>
      </w:r>
    </w:p>
    <w:p w14:paraId="7646D8E7"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Early alert: </w:t>
      </w:r>
      <w:r w:rsidRPr="008E1899">
        <w:rPr>
          <w:rFonts w:asciiTheme="majorHAnsi" w:hAnsiTheme="majorHAnsi" w:cstheme="majorHAnsi"/>
        </w:rPr>
        <w:t>Use first-exam performance, LMS activity, attendance, clinical concerns, and faculty referrals to identify risk early. Define who acts, within how many days, and what happens next.</w:t>
      </w:r>
    </w:p>
    <w:p w14:paraId="16FC1945"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Academic support: </w:t>
      </w:r>
      <w:r w:rsidRPr="008E1899">
        <w:rPr>
          <w:rFonts w:asciiTheme="majorHAnsi" w:hAnsiTheme="majorHAnsi" w:cstheme="majorHAnsi"/>
        </w:rPr>
        <w:t>Embed tutoring in high-risk courses; provide structured remediation for failed competencies; use faculty mentors for scheduled academic/career check-ins.</w:t>
      </w:r>
    </w:p>
    <w:p w14:paraId="60622F93"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Clinical integration: </w:t>
      </w:r>
      <w:r w:rsidRPr="008E1899">
        <w:rPr>
          <w:rFonts w:asciiTheme="majorHAnsi" w:hAnsiTheme="majorHAnsi" w:cstheme="majorHAnsi"/>
        </w:rPr>
        <w:t>Scaffold lab → simulation → clinical performance; hold mid-rotation check-ins; investigate clinical-site patterns when withdrawals or failures cluster.</w:t>
      </w:r>
    </w:p>
    <w:p w14:paraId="31C80D7E"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Belonging and persistence: </w:t>
      </w:r>
      <w:r w:rsidRPr="008E1899">
        <w:rPr>
          <w:rFonts w:asciiTheme="majorHAnsi" w:hAnsiTheme="majorHAnsi" w:cstheme="majorHAnsi"/>
        </w:rPr>
        <w:t>Use cohort-building and peer mentoring, and connect students quickly to institutional counseling, financial, academic, and other support services.</w:t>
      </w:r>
    </w:p>
    <w:p w14:paraId="62BA749C"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Policy clarity: </w:t>
      </w:r>
      <w:r w:rsidRPr="008E1899">
        <w:rPr>
          <w:rFonts w:asciiTheme="majorHAnsi" w:hAnsiTheme="majorHAnsi" w:cstheme="majorHAnsi"/>
        </w:rPr>
        <w:t>Ensure progression and remediation policies are transparent and consistently applied. Review whether policy design unintentionally creates avoidable bottlenecks while maintaining rigor.</w:t>
      </w:r>
    </w:p>
    <w:p w14:paraId="26187CB5"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Exit intelligence: </w:t>
      </w:r>
      <w:r w:rsidRPr="008E1899">
        <w:rPr>
          <w:rFonts w:asciiTheme="majorHAnsi" w:hAnsiTheme="majorHAnsi" w:cstheme="majorHAnsi"/>
        </w:rPr>
        <w:t>Use structured exit interviews/surveys. Code reasons for departure consistently so trends can be analyzed rather than stored as anecdotes.</w:t>
      </w:r>
    </w:p>
    <w:p w14:paraId="14750525" w14:textId="597BE269"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Standards 1.04 and 4.08 emphasize faculty involvement in progression policy and documented curriculum review/action planning.</w:t>
      </w:r>
    </w:p>
    <w:tbl>
      <w:tblPr>
        <w:tblW w:w="0" w:type="auto"/>
        <w:jc w:val="center"/>
        <w:tblLayout w:type="fixed"/>
        <w:tblLook w:val="04A0" w:firstRow="1" w:lastRow="0" w:firstColumn="1" w:lastColumn="0" w:noHBand="0" w:noVBand="1"/>
      </w:tblPr>
      <w:tblGrid>
        <w:gridCol w:w="10080"/>
      </w:tblGrid>
      <w:tr w:rsidR="0003663B" w:rsidRPr="008E1899" w14:paraId="5153365A" w14:textId="77777777">
        <w:trPr>
          <w:jc w:val="center"/>
        </w:trPr>
        <w:tc>
          <w:tcPr>
            <w:tcW w:w="10080" w:type="dxa"/>
            <w:shd w:val="clear" w:color="auto" w:fill="EEF7F1"/>
            <w:tcMar>
              <w:top w:w="140" w:type="dxa"/>
              <w:left w:w="160" w:type="dxa"/>
              <w:bottom w:w="140" w:type="dxa"/>
              <w:right w:w="160" w:type="dxa"/>
            </w:tcMar>
          </w:tcPr>
          <w:p w14:paraId="68532AAA" w14:textId="77777777" w:rsidR="0003663B" w:rsidRPr="008E1899" w:rsidRDefault="00000000">
            <w:pPr>
              <w:rPr>
                <w:rFonts w:asciiTheme="majorHAnsi" w:hAnsiTheme="majorHAnsi" w:cstheme="majorHAnsi"/>
              </w:rPr>
            </w:pPr>
            <w:r w:rsidRPr="008E1899">
              <w:rPr>
                <w:rFonts w:asciiTheme="majorHAnsi" w:hAnsiTheme="majorHAnsi" w:cstheme="majorHAnsi"/>
                <w:b/>
                <w:color w:val="14495C"/>
              </w:rPr>
              <w:t>Useful internal leading indicators</w:t>
            </w:r>
          </w:p>
          <w:p w14:paraId="5998ADDF" w14:textId="1BDD0FD7" w:rsidR="0003663B" w:rsidRPr="008E1899" w:rsidRDefault="00000000">
            <w:pPr>
              <w:spacing w:after="0"/>
              <w:rPr>
                <w:rFonts w:asciiTheme="majorHAnsi" w:hAnsiTheme="majorHAnsi" w:cstheme="majorHAnsi"/>
              </w:rPr>
            </w:pPr>
            <w:r w:rsidRPr="008E1899">
              <w:rPr>
                <w:rFonts w:asciiTheme="majorHAnsi" w:hAnsiTheme="majorHAnsi" w:cstheme="majorHAnsi"/>
              </w:rPr>
              <w:t xml:space="preserve">Track persistence by semester, D/F/W rates in gateway courses, remediation completion and success, reasons for withdrawal, clinical failures, attendance/engagement triggers, and time from early-alert trigger to intervention. These measures help you act before the three-year CoARC average </w:t>
            </w:r>
            <w:r w:rsidR="00865301" w:rsidRPr="008E1899">
              <w:rPr>
                <w:rFonts w:asciiTheme="majorHAnsi" w:hAnsiTheme="majorHAnsi" w:cstheme="majorHAnsi"/>
              </w:rPr>
              <w:t>falls below the subthreshold level</w:t>
            </w:r>
            <w:r w:rsidRPr="008E1899">
              <w:rPr>
                <w:rFonts w:asciiTheme="majorHAnsi" w:hAnsiTheme="majorHAnsi" w:cstheme="majorHAnsi"/>
              </w:rPr>
              <w:t>.</w:t>
            </w:r>
          </w:p>
        </w:tc>
      </w:tr>
    </w:tbl>
    <w:p w14:paraId="0058FB95" w14:textId="77777777" w:rsidR="0003663B" w:rsidRPr="008E1899" w:rsidRDefault="0003663B">
      <w:pPr>
        <w:spacing w:after="0"/>
        <w:rPr>
          <w:rFonts w:asciiTheme="majorHAnsi" w:hAnsiTheme="majorHAnsi" w:cstheme="majorHAnsi"/>
        </w:rPr>
      </w:pPr>
    </w:p>
    <w:p w14:paraId="70B83148" w14:textId="77777777" w:rsidR="0003663B" w:rsidRPr="008E1899" w:rsidRDefault="00000000">
      <w:pPr>
        <w:pStyle w:val="Heading1"/>
        <w:rPr>
          <w:rFonts w:cstheme="majorHAnsi"/>
        </w:rPr>
      </w:pPr>
      <w:r w:rsidRPr="008E1899">
        <w:rPr>
          <w:rFonts w:cstheme="majorHAnsi"/>
        </w:rPr>
        <w:lastRenderedPageBreak/>
        <w:t>5. Improving Graduate and Employer Satisfaction</w:t>
      </w:r>
    </w:p>
    <w:p w14:paraId="65479329" w14:textId="77777777" w:rsidR="0003663B" w:rsidRPr="008E1899" w:rsidRDefault="00000000">
      <w:pPr>
        <w:rPr>
          <w:rFonts w:asciiTheme="majorHAnsi" w:hAnsiTheme="majorHAnsi" w:cstheme="majorHAnsi"/>
        </w:rPr>
      </w:pPr>
      <w:r w:rsidRPr="008E1899">
        <w:rPr>
          <w:rFonts w:asciiTheme="majorHAnsi" w:hAnsiTheme="majorHAnsi" w:cstheme="majorHAnsi"/>
        </w:rPr>
        <w:t>Graduate and employer surveys are administered six to twelve months after graduation. For each survey question, at least 80% of respondents must rate overall satisfaction at 3 or higher on a 5-point Likert scale; compliance is based on the three-year average of satisfactory responses.</w:t>
      </w:r>
    </w:p>
    <w:p w14:paraId="05E58BCD"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 3.07, p. 42.</w:t>
      </w:r>
    </w:p>
    <w:p w14:paraId="5230ED45"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Analyze by item, not only the overall average: </w:t>
      </w:r>
      <w:r w:rsidRPr="008E1899">
        <w:rPr>
          <w:rFonts w:asciiTheme="majorHAnsi" w:hAnsiTheme="majorHAnsi" w:cstheme="majorHAnsi"/>
        </w:rPr>
        <w:t>Identify the exact questions below threshold and group them into themes such as clinical readiness, communication, equipment/technology, professionalism, or specialty exposure.</w:t>
      </w:r>
    </w:p>
    <w:p w14:paraId="3A0B59F1" w14:textId="3A023D43" w:rsidR="0003663B" w:rsidRPr="008E1899" w:rsidRDefault="00000000">
      <w:pPr>
        <w:rPr>
          <w:rFonts w:asciiTheme="majorHAnsi" w:hAnsiTheme="majorHAnsi" w:cstheme="majorHAnsi"/>
        </w:rPr>
      </w:pPr>
      <w:r w:rsidRPr="008E1899">
        <w:rPr>
          <w:rFonts w:asciiTheme="majorHAnsi" w:hAnsiTheme="majorHAnsi" w:cstheme="majorHAnsi"/>
          <w:b/>
          <w:color w:val="1C6B75"/>
        </w:rPr>
        <w:t>Close the loop with clinical partners</w:t>
      </w:r>
      <w:r w:rsidR="00CE0FC2" w:rsidRPr="008E1899">
        <w:rPr>
          <w:rFonts w:asciiTheme="majorHAnsi" w:hAnsiTheme="majorHAnsi" w:cstheme="majorHAnsi"/>
          <w:b/>
          <w:color w:val="1C6B75"/>
        </w:rPr>
        <w:t xml:space="preserve"> by bringing item-level findings to the Advisory Committee and clinical site</w:t>
      </w:r>
      <w:r w:rsidRPr="008E1899">
        <w:rPr>
          <w:rFonts w:asciiTheme="majorHAnsi" w:hAnsiTheme="majorHAnsi" w:cstheme="majorHAnsi"/>
        </w:rPr>
        <w:t xml:space="preserve"> representatives. Ask what behaviors or competencies employers are seeing and which experiences should be strengthened.</w:t>
      </w:r>
    </w:p>
    <w:p w14:paraId="60863F47"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Tie concerns to curriculum and clinical experiences: </w:t>
      </w:r>
      <w:r w:rsidRPr="008E1899">
        <w:rPr>
          <w:rFonts w:asciiTheme="majorHAnsi" w:hAnsiTheme="majorHAnsi" w:cstheme="majorHAnsi"/>
        </w:rPr>
        <w:t>Map survey concerns to course objectives, competencies, simulation scenarios, clinical rotations, and assessment rubrics. Avoid generic “increase rigor” responses.</w:t>
      </w:r>
    </w:p>
    <w:p w14:paraId="193660A2" w14:textId="77777777" w:rsidR="0003663B" w:rsidRPr="008E1899" w:rsidRDefault="00000000">
      <w:pPr>
        <w:rPr>
          <w:rFonts w:asciiTheme="majorHAnsi" w:hAnsiTheme="majorHAnsi" w:cstheme="majorHAnsi"/>
        </w:rPr>
      </w:pPr>
      <w:r w:rsidRPr="008E1899">
        <w:rPr>
          <w:rFonts w:asciiTheme="majorHAnsi" w:hAnsiTheme="majorHAnsi" w:cstheme="majorHAnsi"/>
          <w:b/>
          <w:color w:val="1C6B75"/>
        </w:rPr>
        <w:t xml:space="preserve">Improve survey operations without manipulating results: </w:t>
      </w:r>
      <w:r w:rsidRPr="008E1899">
        <w:rPr>
          <w:rFonts w:asciiTheme="majorHAnsi" w:hAnsiTheme="majorHAnsi" w:cstheme="majorHAnsi"/>
        </w:rPr>
        <w:t>Maintain accurate contact information, use a consistent survey calendar, document outreach attempts, and avoid selective follow-up that could bias responses.</w:t>
      </w:r>
    </w:p>
    <w:p w14:paraId="09BC0613" w14:textId="7CC4DB43" w:rsidR="0003663B" w:rsidRPr="008E1899" w:rsidRDefault="00000000" w:rsidP="004A7ED5">
      <w:pPr>
        <w:rPr>
          <w:rFonts w:asciiTheme="majorHAnsi" w:hAnsiTheme="majorHAnsi" w:cstheme="majorHAnsi"/>
        </w:rPr>
      </w:pPr>
      <w:r w:rsidRPr="008E1899">
        <w:rPr>
          <w:rFonts w:asciiTheme="majorHAnsi" w:hAnsiTheme="majorHAnsi" w:cstheme="majorHAnsi"/>
          <w:b/>
          <w:color w:val="1C6B75"/>
        </w:rPr>
        <w:t xml:space="preserve">Show evidence of effect: </w:t>
      </w:r>
      <w:r w:rsidRPr="008E1899">
        <w:rPr>
          <w:rFonts w:asciiTheme="majorHAnsi" w:hAnsiTheme="majorHAnsi" w:cstheme="majorHAnsi"/>
        </w:rPr>
        <w:t>Document what changed, when it changed, who was affected, and whether subsequent survey items, clinical evaluations, or employer feedback improved.</w:t>
      </w:r>
    </w:p>
    <w:p w14:paraId="0D41AEC5" w14:textId="77777777" w:rsidR="0003663B" w:rsidRPr="008E1899" w:rsidRDefault="00000000">
      <w:pPr>
        <w:pStyle w:val="Heading1"/>
        <w:rPr>
          <w:rFonts w:cstheme="majorHAnsi"/>
        </w:rPr>
      </w:pPr>
      <w:r w:rsidRPr="008E1899">
        <w:rPr>
          <w:rFonts w:cstheme="majorHAnsi"/>
        </w:rPr>
        <w:t>6. Measures Without a CoARC Threshold: Still Use Them</w:t>
      </w:r>
    </w:p>
    <w:p w14:paraId="2BDA60F5" w14:textId="77777777" w:rsidR="0003663B" w:rsidRPr="008E1899" w:rsidRDefault="00000000">
      <w:pPr>
        <w:rPr>
          <w:rFonts w:asciiTheme="majorHAnsi" w:hAnsiTheme="majorHAnsi" w:cstheme="majorHAnsi"/>
        </w:rPr>
      </w:pPr>
      <w:r w:rsidRPr="008E1899">
        <w:rPr>
          <w:rFonts w:asciiTheme="majorHAnsi" w:hAnsiTheme="majorHAnsi" w:cstheme="majorHAnsi"/>
        </w:rPr>
        <w:t>RRT credentialing success and job placement must be reported annually, but the 2027 Standards do not establish a CoARC threshold for either measure. These indicators should still be part of the program’s CQI system because they can expose concerns in exam readiness, graduate confidence, local workforce alignment, or employer demand before those concerns appear elsewhere.</w:t>
      </w:r>
    </w:p>
    <w:p w14:paraId="73C662FA"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Source: CoARC 2027 Standard 3.07, pp. 42–43.</w:t>
      </w:r>
    </w:p>
    <w:p w14:paraId="1CD01811"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Treat RRT credentialing as a secondary exam-readiness indicator; compare it with High Cut Score success and timing of examination attempts.</w:t>
      </w:r>
    </w:p>
    <w:p w14:paraId="763818C4"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For job placement, separate graduates seeking employment from those not seeking employment where reporting rules permit, and maintain consistent documentation of status.</w:t>
      </w:r>
    </w:p>
    <w:p w14:paraId="611B1A2D"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alumni and employer relationships for both placement intelligence and curriculum feedback.</w:t>
      </w:r>
    </w:p>
    <w:p w14:paraId="67C81DAA" w14:textId="77777777" w:rsidR="0003663B" w:rsidRPr="008E1899" w:rsidRDefault="00000000">
      <w:pPr>
        <w:pStyle w:val="Heading1"/>
        <w:rPr>
          <w:rFonts w:cstheme="majorHAnsi"/>
        </w:rPr>
      </w:pPr>
      <w:r w:rsidRPr="008E1899">
        <w:rPr>
          <w:rFonts w:cstheme="majorHAnsi"/>
        </w:rPr>
        <w:t>7. Recruitment and Program Viability: A Supporting Strategy</w:t>
      </w:r>
    </w:p>
    <w:p w14:paraId="0327037D" w14:textId="77777777" w:rsidR="0003663B" w:rsidRPr="008E1899" w:rsidRDefault="00000000">
      <w:pPr>
        <w:rPr>
          <w:rFonts w:asciiTheme="majorHAnsi" w:hAnsiTheme="majorHAnsi" w:cstheme="majorHAnsi"/>
        </w:rPr>
      </w:pPr>
      <w:r w:rsidRPr="008E1899">
        <w:rPr>
          <w:rFonts w:asciiTheme="majorHAnsi" w:hAnsiTheme="majorHAnsi" w:cstheme="majorHAnsi"/>
        </w:rPr>
        <w:t>Recruitment is not itself a CoARC-established outcome threshold in Standard 3.07, but stable enrollment and a qualified applicant pool influence cohort size, resource planning, and long-term viability. Recruitment strategies should be evaluated as CQI activities rather than presented as a direct remedy for a threshold citation unless data show a relevant connection.</w:t>
      </w:r>
    </w:p>
    <w:p w14:paraId="0ABD8823"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Build high-school/community outreach with counselors, health-science teachers, HOSA/STEM pathways, and hands-on “Discovery Day” experiences.</w:t>
      </w:r>
    </w:p>
    <w:p w14:paraId="241C6343"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Refresh the program website with clear admissions requirements, authentic student/alumni stories, career information, and simple application checklists.</w:t>
      </w:r>
    </w:p>
    <w:p w14:paraId="7018C2D1"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healthcare partners, alumni, and student ambassadors to expand awareness and create tuition/support pipelines where appropriate.</w:t>
      </w:r>
    </w:p>
    <w:p w14:paraId="00F6B372"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Track applicants, acceptances, enrollment conversion, event attendance, web traffic, and inquiry-to-application trends; review them with faculty and the Advisory Committee.</w:t>
      </w:r>
    </w:p>
    <w:p w14:paraId="134EBA50" w14:textId="1A370231" w:rsidR="0003663B" w:rsidRPr="008E1899" w:rsidRDefault="00141431">
      <w:pPr>
        <w:pStyle w:val="SourceNote"/>
        <w:rPr>
          <w:rFonts w:asciiTheme="majorHAnsi" w:hAnsiTheme="majorHAnsi" w:cstheme="majorHAnsi"/>
        </w:rPr>
      </w:pPr>
      <w:r w:rsidRPr="008E1899">
        <w:rPr>
          <w:rFonts w:asciiTheme="majorHAnsi" w:hAnsiTheme="majorHAnsi" w:cstheme="majorHAnsi"/>
        </w:rPr>
        <w:lastRenderedPageBreak/>
        <w:t xml:space="preserve"> </w:t>
      </w:r>
    </w:p>
    <w:p w14:paraId="4E4E54BF" w14:textId="77777777" w:rsidR="0003663B" w:rsidRPr="008E1899" w:rsidRDefault="00000000">
      <w:pPr>
        <w:pStyle w:val="Heading1"/>
        <w:rPr>
          <w:rFonts w:cstheme="majorHAnsi"/>
        </w:rPr>
      </w:pPr>
      <w:r w:rsidRPr="008E1899">
        <w:rPr>
          <w:rFonts w:cstheme="majorHAnsi"/>
        </w:rPr>
        <w:t>8. Documentation That Makes an Improvement Plan Credible</w:t>
      </w:r>
    </w:p>
    <w:p w14:paraId="2E1605E2" w14:textId="77777777" w:rsidR="0003663B" w:rsidRPr="008E1899" w:rsidRDefault="00000000">
      <w:pPr>
        <w:rPr>
          <w:rFonts w:asciiTheme="majorHAnsi" w:hAnsiTheme="majorHAnsi" w:cstheme="majorHAnsi"/>
        </w:rPr>
      </w:pPr>
      <w:r w:rsidRPr="008E1899">
        <w:rPr>
          <w:rFonts w:asciiTheme="majorHAnsi" w:hAnsiTheme="majorHAnsi" w:cstheme="majorHAnsi"/>
        </w:rPr>
        <w:t>A strong accreditation response is not just a narrative. It is a chain of evidence connecting the finding → analysis → decision → implementation → result.</w:t>
      </w:r>
    </w:p>
    <w:p w14:paraId="1DEC6CD8" w14:textId="41762268"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Program Action Letter and all CoARC/Referee</w:t>
      </w:r>
      <w:r w:rsidR="00EA1AE3" w:rsidRPr="008E1899">
        <w:rPr>
          <w:rFonts w:asciiTheme="majorHAnsi" w:hAnsiTheme="majorHAnsi" w:cstheme="majorHAnsi"/>
          <w:sz w:val="20"/>
          <w:szCs w:val="28"/>
        </w:rPr>
        <w:t>/CoARC Staff</w:t>
      </w:r>
      <w:r w:rsidRPr="008E1899">
        <w:rPr>
          <w:rFonts w:asciiTheme="majorHAnsi" w:hAnsiTheme="majorHAnsi" w:cstheme="majorHAnsi"/>
        </w:rPr>
        <w:t xml:space="preserve"> correspondence</w:t>
      </w:r>
    </w:p>
    <w:p w14:paraId="121867B9"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Validated RCS calculations and source reports (including NBRC reports)</w:t>
      </w:r>
    </w:p>
    <w:p w14:paraId="4D4FE219"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Cohort-level and item/domain-level analyses with clear denominators</w:t>
      </w:r>
    </w:p>
    <w:p w14:paraId="0CA1B446"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Root-cause analysis and meeting minutes showing faculty engagement</w:t>
      </w:r>
    </w:p>
    <w:p w14:paraId="328D9714"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Action plan with responsible person, timeline, resources, measures, and review date</w:t>
      </w:r>
    </w:p>
    <w:p w14:paraId="7CE9B633"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Revised curriculum map, syllabi, assessments, rubrics, remediation processes, or policies, as applicable</w:t>
      </w:r>
    </w:p>
    <w:p w14:paraId="2CFFBDDC"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Faculty development records and implementation dates</w:t>
      </w:r>
    </w:p>
    <w:p w14:paraId="6A237A29"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Advisory Committee minutes showing discussion and recommendations—not merely announcements</w:t>
      </w:r>
    </w:p>
    <w:p w14:paraId="6E125D8B"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Evidence of student communication and access to support resources</w:t>
      </w:r>
    </w:p>
    <w:p w14:paraId="519B97DA" w14:textId="77777777" w:rsidR="0003663B" w:rsidRPr="008E1899" w:rsidRDefault="00000000">
      <w:pPr>
        <w:pStyle w:val="ListBullet"/>
        <w:rPr>
          <w:rFonts w:asciiTheme="majorHAnsi" w:hAnsiTheme="majorHAnsi" w:cstheme="majorHAnsi"/>
        </w:rPr>
      </w:pPr>
      <w:r w:rsidRPr="008E1899">
        <w:rPr>
          <w:rFonts w:ascii="Segoe UI Symbol" w:hAnsi="Segoe UI Symbol" w:cs="Segoe UI Symbol"/>
        </w:rPr>
        <w:t>☐</w:t>
      </w:r>
      <w:r w:rsidRPr="008E1899">
        <w:rPr>
          <w:rFonts w:asciiTheme="majorHAnsi" w:hAnsiTheme="majorHAnsi" w:cstheme="majorHAnsi"/>
        </w:rPr>
        <w:t xml:space="preserve"> Follow-up data showing whether interventions were effective and what was changed next</w:t>
      </w:r>
    </w:p>
    <w:p w14:paraId="591D77DC" w14:textId="22B3FC79" w:rsidR="0003663B" w:rsidRPr="008E1899" w:rsidRDefault="00DD3F94">
      <w:pPr>
        <w:pStyle w:val="SourceNote"/>
        <w:rPr>
          <w:rFonts w:asciiTheme="majorHAnsi" w:hAnsiTheme="majorHAnsi" w:cstheme="majorHAnsi"/>
        </w:rPr>
      </w:pPr>
      <w:r w:rsidRPr="008E1899">
        <w:rPr>
          <w:rFonts w:asciiTheme="majorHAnsi" w:hAnsiTheme="majorHAnsi" w:cstheme="majorHAnsi"/>
        </w:rPr>
        <w:t xml:space="preserve"> </w:t>
      </w:r>
    </w:p>
    <w:p w14:paraId="5A8C21D0" w14:textId="77777777" w:rsidR="0003663B" w:rsidRPr="008E1899" w:rsidRDefault="00000000">
      <w:pPr>
        <w:pStyle w:val="Heading1"/>
        <w:rPr>
          <w:rFonts w:cstheme="majorHAnsi"/>
        </w:rPr>
      </w:pPr>
      <w:r w:rsidRPr="008E1899">
        <w:rPr>
          <w:rFonts w:cstheme="majorHAnsi"/>
        </w:rPr>
        <w:t>9. Suggested 30–60–90 Day Response Plan</w:t>
      </w:r>
    </w:p>
    <w:tbl>
      <w:tblPr>
        <w:tblW w:w="0" w:type="auto"/>
        <w:jc w:val="center"/>
        <w:tblLayout w:type="fixed"/>
        <w:tblLook w:val="04A0" w:firstRow="1" w:lastRow="0" w:firstColumn="1" w:lastColumn="0" w:noHBand="0" w:noVBand="1"/>
      </w:tblPr>
      <w:tblGrid>
        <w:gridCol w:w="2520"/>
        <w:gridCol w:w="2880"/>
        <w:gridCol w:w="2880"/>
        <w:gridCol w:w="2736"/>
      </w:tblGrid>
      <w:tr w:rsidR="0003663B" w:rsidRPr="008E1899" w14:paraId="322C6A3E" w14:textId="77777777">
        <w:trPr>
          <w:tblHeader/>
          <w:jc w:val="center"/>
        </w:trPr>
        <w:tc>
          <w:tcPr>
            <w:tcW w:w="2520" w:type="dxa"/>
            <w:shd w:val="clear" w:color="auto" w:fill="163A5F"/>
            <w:tcMar>
              <w:top w:w="100" w:type="dxa"/>
              <w:left w:w="120" w:type="dxa"/>
              <w:bottom w:w="100" w:type="dxa"/>
              <w:right w:w="120" w:type="dxa"/>
            </w:tcMar>
          </w:tcPr>
          <w:p w14:paraId="4CFA222C"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Window</w:t>
            </w:r>
          </w:p>
        </w:tc>
        <w:tc>
          <w:tcPr>
            <w:tcW w:w="2520" w:type="dxa"/>
            <w:shd w:val="clear" w:color="auto" w:fill="163A5F"/>
            <w:tcMar>
              <w:top w:w="100" w:type="dxa"/>
              <w:left w:w="120" w:type="dxa"/>
              <w:bottom w:w="100" w:type="dxa"/>
              <w:right w:w="120" w:type="dxa"/>
            </w:tcMar>
          </w:tcPr>
          <w:p w14:paraId="32FDC442"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Primary objective</w:t>
            </w:r>
          </w:p>
        </w:tc>
        <w:tc>
          <w:tcPr>
            <w:tcW w:w="2520" w:type="dxa"/>
            <w:shd w:val="clear" w:color="auto" w:fill="163A5F"/>
            <w:tcMar>
              <w:top w:w="100" w:type="dxa"/>
              <w:left w:w="120" w:type="dxa"/>
              <w:bottom w:w="100" w:type="dxa"/>
              <w:right w:w="120" w:type="dxa"/>
            </w:tcMar>
          </w:tcPr>
          <w:p w14:paraId="4C5EDC63"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Key actions</w:t>
            </w:r>
          </w:p>
        </w:tc>
        <w:tc>
          <w:tcPr>
            <w:tcW w:w="2520" w:type="dxa"/>
            <w:shd w:val="clear" w:color="auto" w:fill="163A5F"/>
            <w:tcMar>
              <w:top w:w="100" w:type="dxa"/>
              <w:left w:w="120" w:type="dxa"/>
              <w:bottom w:w="100" w:type="dxa"/>
              <w:right w:w="120" w:type="dxa"/>
            </w:tcMar>
          </w:tcPr>
          <w:p w14:paraId="6E399595" w14:textId="77777777" w:rsidR="0003663B" w:rsidRPr="008E1899" w:rsidRDefault="00000000">
            <w:pPr>
              <w:rPr>
                <w:rFonts w:asciiTheme="majorHAnsi" w:hAnsiTheme="majorHAnsi" w:cstheme="majorHAnsi"/>
              </w:rPr>
            </w:pPr>
            <w:r w:rsidRPr="008E1899">
              <w:rPr>
                <w:rFonts w:asciiTheme="majorHAnsi" w:hAnsiTheme="majorHAnsi" w:cstheme="majorHAnsi"/>
                <w:b/>
                <w:color w:val="FFFFFF"/>
                <w:sz w:val="18"/>
              </w:rPr>
              <w:t>Deliverable</w:t>
            </w:r>
          </w:p>
        </w:tc>
      </w:tr>
      <w:tr w:rsidR="0003663B" w:rsidRPr="008E1899" w14:paraId="53840B54" w14:textId="77777777">
        <w:trPr>
          <w:jc w:val="center"/>
        </w:trPr>
        <w:tc>
          <w:tcPr>
            <w:tcW w:w="1152" w:type="dxa"/>
            <w:tcMar>
              <w:top w:w="100" w:type="dxa"/>
              <w:left w:w="120" w:type="dxa"/>
              <w:bottom w:w="100" w:type="dxa"/>
              <w:right w:w="120" w:type="dxa"/>
            </w:tcMar>
          </w:tcPr>
          <w:p w14:paraId="6CF4A2C3"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Days 0–30</w:t>
            </w:r>
          </w:p>
        </w:tc>
        <w:tc>
          <w:tcPr>
            <w:tcW w:w="2880" w:type="dxa"/>
            <w:tcMar>
              <w:top w:w="100" w:type="dxa"/>
              <w:left w:w="120" w:type="dxa"/>
              <w:bottom w:w="100" w:type="dxa"/>
              <w:right w:w="120" w:type="dxa"/>
            </w:tcMar>
          </w:tcPr>
          <w:p w14:paraId="001515AB"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Validate and understand</w:t>
            </w:r>
          </w:p>
        </w:tc>
        <w:tc>
          <w:tcPr>
            <w:tcW w:w="2880" w:type="dxa"/>
            <w:tcMar>
              <w:top w:w="100" w:type="dxa"/>
              <w:left w:w="120" w:type="dxa"/>
              <w:bottom w:w="100" w:type="dxa"/>
              <w:right w:w="120" w:type="dxa"/>
            </w:tcMar>
          </w:tcPr>
          <w:p w14:paraId="43ECFA4B" w14:textId="5D241C3E"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Confirm CoARC requirements; reconcile data; identify affected cohorts/items/domains; meet faculty/DCE; initiate Referee</w:t>
            </w:r>
            <w:r w:rsidR="00F656F2" w:rsidRPr="008E1899">
              <w:rPr>
                <w:rFonts w:asciiTheme="majorHAnsi" w:hAnsiTheme="majorHAnsi" w:cstheme="majorHAnsi"/>
                <w:sz w:val="20"/>
                <w:szCs w:val="28"/>
              </w:rPr>
              <w:t>/CoARC Staff</w:t>
            </w:r>
            <w:r w:rsidRPr="008E1899">
              <w:rPr>
                <w:rFonts w:asciiTheme="majorHAnsi" w:hAnsiTheme="majorHAnsi" w:cstheme="majorHAnsi"/>
                <w:sz w:val="20"/>
                <w:szCs w:val="28"/>
              </w:rPr>
              <w:t xml:space="preserve"> dialogue.</w:t>
            </w:r>
          </w:p>
        </w:tc>
        <w:tc>
          <w:tcPr>
            <w:tcW w:w="2736" w:type="dxa"/>
            <w:tcMar>
              <w:top w:w="100" w:type="dxa"/>
              <w:left w:w="120" w:type="dxa"/>
              <w:bottom w:w="100" w:type="dxa"/>
              <w:right w:w="120" w:type="dxa"/>
            </w:tcMar>
          </w:tcPr>
          <w:p w14:paraId="754AD96C"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Validated baseline + problem statement + preliminary root-cause analysis</w:t>
            </w:r>
          </w:p>
        </w:tc>
      </w:tr>
      <w:tr w:rsidR="0003663B" w:rsidRPr="008E1899" w14:paraId="21573EF5" w14:textId="77777777">
        <w:trPr>
          <w:jc w:val="center"/>
        </w:trPr>
        <w:tc>
          <w:tcPr>
            <w:tcW w:w="1152" w:type="dxa"/>
            <w:shd w:val="clear" w:color="auto" w:fill="F7F9FA"/>
            <w:tcMar>
              <w:top w:w="100" w:type="dxa"/>
              <w:left w:w="120" w:type="dxa"/>
              <w:bottom w:w="100" w:type="dxa"/>
              <w:right w:w="120" w:type="dxa"/>
            </w:tcMar>
          </w:tcPr>
          <w:p w14:paraId="0BB3828A"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Days 31–60</w:t>
            </w:r>
          </w:p>
        </w:tc>
        <w:tc>
          <w:tcPr>
            <w:tcW w:w="2880" w:type="dxa"/>
            <w:shd w:val="clear" w:color="auto" w:fill="F7F9FA"/>
            <w:tcMar>
              <w:top w:w="100" w:type="dxa"/>
              <w:left w:w="120" w:type="dxa"/>
              <w:bottom w:w="100" w:type="dxa"/>
              <w:right w:w="120" w:type="dxa"/>
            </w:tcMar>
          </w:tcPr>
          <w:p w14:paraId="00A3A6A1"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Implement targeted changes</w:t>
            </w:r>
          </w:p>
        </w:tc>
        <w:tc>
          <w:tcPr>
            <w:tcW w:w="2880" w:type="dxa"/>
            <w:shd w:val="clear" w:color="auto" w:fill="F7F9FA"/>
            <w:tcMar>
              <w:top w:w="100" w:type="dxa"/>
              <w:left w:w="120" w:type="dxa"/>
              <w:bottom w:w="100" w:type="dxa"/>
              <w:right w:w="120" w:type="dxa"/>
            </w:tcMar>
          </w:tcPr>
          <w:p w14:paraId="213C0E56"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Approve action plan; revise curriculum/support processes; assign owners; launch interventions; brief AC/administration.</w:t>
            </w:r>
          </w:p>
        </w:tc>
        <w:tc>
          <w:tcPr>
            <w:tcW w:w="2736" w:type="dxa"/>
            <w:shd w:val="clear" w:color="auto" w:fill="F7F9FA"/>
            <w:tcMar>
              <w:top w:w="100" w:type="dxa"/>
              <w:left w:w="120" w:type="dxa"/>
              <w:bottom w:w="100" w:type="dxa"/>
              <w:right w:w="120" w:type="dxa"/>
            </w:tcMar>
          </w:tcPr>
          <w:p w14:paraId="17FEB44A"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Signed action plan + implementation evidence + monitoring dashboard</w:t>
            </w:r>
          </w:p>
        </w:tc>
      </w:tr>
      <w:tr w:rsidR="0003663B" w:rsidRPr="008E1899" w14:paraId="442053FE" w14:textId="77777777">
        <w:trPr>
          <w:jc w:val="center"/>
        </w:trPr>
        <w:tc>
          <w:tcPr>
            <w:tcW w:w="1152" w:type="dxa"/>
            <w:tcMar>
              <w:top w:w="100" w:type="dxa"/>
              <w:left w:w="120" w:type="dxa"/>
              <w:bottom w:w="100" w:type="dxa"/>
              <w:right w:w="120" w:type="dxa"/>
            </w:tcMar>
          </w:tcPr>
          <w:p w14:paraId="2B170473"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Days 61–90</w:t>
            </w:r>
          </w:p>
        </w:tc>
        <w:tc>
          <w:tcPr>
            <w:tcW w:w="2880" w:type="dxa"/>
            <w:tcMar>
              <w:top w:w="100" w:type="dxa"/>
              <w:left w:w="120" w:type="dxa"/>
              <w:bottom w:w="100" w:type="dxa"/>
              <w:right w:w="120" w:type="dxa"/>
            </w:tcMar>
          </w:tcPr>
          <w:p w14:paraId="2D127DE4"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Measure early effect</w:t>
            </w:r>
          </w:p>
        </w:tc>
        <w:tc>
          <w:tcPr>
            <w:tcW w:w="2880" w:type="dxa"/>
            <w:tcMar>
              <w:top w:w="100" w:type="dxa"/>
              <w:left w:w="120" w:type="dxa"/>
              <w:bottom w:w="100" w:type="dxa"/>
              <w:right w:w="120" w:type="dxa"/>
            </w:tcMar>
          </w:tcPr>
          <w:p w14:paraId="3974684F"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Review process measures and early outcome indicators; correct implementation gaps; document decisions; prepare required progress report materials.</w:t>
            </w:r>
          </w:p>
        </w:tc>
        <w:tc>
          <w:tcPr>
            <w:tcW w:w="2736" w:type="dxa"/>
            <w:tcMar>
              <w:top w:w="100" w:type="dxa"/>
              <w:left w:w="120" w:type="dxa"/>
              <w:bottom w:w="100" w:type="dxa"/>
              <w:right w:w="120" w:type="dxa"/>
            </w:tcMar>
          </w:tcPr>
          <w:p w14:paraId="41D2840A" w14:textId="77777777" w:rsidR="0003663B" w:rsidRPr="008E1899" w:rsidRDefault="00000000">
            <w:pPr>
              <w:rPr>
                <w:rFonts w:asciiTheme="majorHAnsi" w:hAnsiTheme="majorHAnsi" w:cstheme="majorHAnsi"/>
                <w:sz w:val="20"/>
                <w:szCs w:val="28"/>
              </w:rPr>
            </w:pPr>
            <w:r w:rsidRPr="008E1899">
              <w:rPr>
                <w:rFonts w:asciiTheme="majorHAnsi" w:hAnsiTheme="majorHAnsi" w:cstheme="majorHAnsi"/>
                <w:sz w:val="20"/>
                <w:szCs w:val="28"/>
              </w:rPr>
              <w:t>Interim evaluation + updated action plan + evidence packet</w:t>
            </w:r>
          </w:p>
        </w:tc>
      </w:tr>
    </w:tbl>
    <w:p w14:paraId="27430161" w14:textId="77777777" w:rsidR="0003663B" w:rsidRPr="008E1899" w:rsidRDefault="00000000">
      <w:pPr>
        <w:rPr>
          <w:rFonts w:asciiTheme="majorHAnsi" w:hAnsiTheme="majorHAnsi" w:cstheme="majorHAnsi"/>
        </w:rPr>
      </w:pPr>
      <w:r w:rsidRPr="008E1899">
        <w:rPr>
          <w:rFonts w:asciiTheme="majorHAnsi" w:hAnsiTheme="majorHAnsi" w:cstheme="majorHAnsi"/>
        </w:rPr>
        <w:br w:type="page"/>
      </w:r>
    </w:p>
    <w:p w14:paraId="5098B25D" w14:textId="77777777" w:rsidR="0003663B" w:rsidRPr="008E1899" w:rsidRDefault="00000000">
      <w:pPr>
        <w:pStyle w:val="Heading1"/>
        <w:rPr>
          <w:rFonts w:cstheme="majorHAnsi"/>
        </w:rPr>
      </w:pPr>
      <w:r w:rsidRPr="008E1899">
        <w:rPr>
          <w:rFonts w:cstheme="majorHAnsi"/>
        </w:rPr>
        <w:lastRenderedPageBreak/>
        <w:t>10. Fillable Action-Plan Template</w:t>
      </w:r>
    </w:p>
    <w:tbl>
      <w:tblPr>
        <w:tblW w:w="0" w:type="auto"/>
        <w:jc w:val="center"/>
        <w:tblLayout w:type="fixed"/>
        <w:tblLook w:val="04A0" w:firstRow="1" w:lastRow="0" w:firstColumn="1" w:lastColumn="0" w:noHBand="0" w:noVBand="1"/>
      </w:tblPr>
      <w:tblGrid>
        <w:gridCol w:w="3168"/>
        <w:gridCol w:w="6192"/>
      </w:tblGrid>
      <w:tr w:rsidR="0003663B" w:rsidRPr="008E1899" w14:paraId="242746E3" w14:textId="77777777">
        <w:trPr>
          <w:jc w:val="center"/>
        </w:trPr>
        <w:tc>
          <w:tcPr>
            <w:tcW w:w="3168" w:type="dxa"/>
            <w:shd w:val="clear" w:color="auto" w:fill="EAF3F6"/>
            <w:tcMar>
              <w:top w:w="100" w:type="dxa"/>
              <w:left w:w="120" w:type="dxa"/>
              <w:bottom w:w="100" w:type="dxa"/>
              <w:right w:w="120" w:type="dxa"/>
            </w:tcMar>
          </w:tcPr>
          <w:p w14:paraId="0CFF889C" w14:textId="77777777" w:rsidR="0003663B" w:rsidRPr="008E1899" w:rsidRDefault="00000000">
            <w:pPr>
              <w:rPr>
                <w:rFonts w:asciiTheme="majorHAnsi" w:hAnsiTheme="majorHAnsi" w:cstheme="majorHAnsi"/>
              </w:rPr>
            </w:pPr>
            <w:r w:rsidRPr="008E1899">
              <w:rPr>
                <w:rFonts w:asciiTheme="majorHAnsi" w:hAnsiTheme="majorHAnsi" w:cstheme="majorHAnsi"/>
                <w:b/>
              </w:rPr>
              <w:t>Outcome / citation</w:t>
            </w:r>
          </w:p>
        </w:tc>
        <w:tc>
          <w:tcPr>
            <w:tcW w:w="6192" w:type="dxa"/>
            <w:tcMar>
              <w:top w:w="100" w:type="dxa"/>
              <w:left w:w="120" w:type="dxa"/>
              <w:bottom w:w="100" w:type="dxa"/>
              <w:right w:w="120" w:type="dxa"/>
            </w:tcMar>
          </w:tcPr>
          <w:p w14:paraId="42286E96"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655CADEE" w14:textId="77777777">
        <w:trPr>
          <w:jc w:val="center"/>
        </w:trPr>
        <w:tc>
          <w:tcPr>
            <w:tcW w:w="3168" w:type="dxa"/>
            <w:shd w:val="clear" w:color="auto" w:fill="EAF3F6"/>
            <w:tcMar>
              <w:top w:w="100" w:type="dxa"/>
              <w:left w:w="120" w:type="dxa"/>
              <w:bottom w:w="100" w:type="dxa"/>
              <w:right w:w="120" w:type="dxa"/>
            </w:tcMar>
          </w:tcPr>
          <w:p w14:paraId="11D73681" w14:textId="77777777" w:rsidR="0003663B" w:rsidRPr="008E1899" w:rsidRDefault="00000000">
            <w:pPr>
              <w:rPr>
                <w:rFonts w:asciiTheme="majorHAnsi" w:hAnsiTheme="majorHAnsi" w:cstheme="majorHAnsi"/>
              </w:rPr>
            </w:pPr>
            <w:r w:rsidRPr="008E1899">
              <w:rPr>
                <w:rFonts w:asciiTheme="majorHAnsi" w:hAnsiTheme="majorHAnsi" w:cstheme="majorHAnsi"/>
                <w:b/>
              </w:rPr>
              <w:t>Current 3-year result and threshold</w:t>
            </w:r>
          </w:p>
        </w:tc>
        <w:tc>
          <w:tcPr>
            <w:tcW w:w="6192" w:type="dxa"/>
            <w:tcMar>
              <w:top w:w="100" w:type="dxa"/>
              <w:left w:w="120" w:type="dxa"/>
              <w:bottom w:w="100" w:type="dxa"/>
              <w:right w:w="120" w:type="dxa"/>
            </w:tcMar>
          </w:tcPr>
          <w:p w14:paraId="0852A3A5"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5C7CD371" w14:textId="77777777">
        <w:trPr>
          <w:jc w:val="center"/>
        </w:trPr>
        <w:tc>
          <w:tcPr>
            <w:tcW w:w="3168" w:type="dxa"/>
            <w:shd w:val="clear" w:color="auto" w:fill="EAF3F6"/>
            <w:tcMar>
              <w:top w:w="100" w:type="dxa"/>
              <w:left w:w="120" w:type="dxa"/>
              <w:bottom w:w="100" w:type="dxa"/>
              <w:right w:w="120" w:type="dxa"/>
            </w:tcMar>
          </w:tcPr>
          <w:p w14:paraId="2F897E1F" w14:textId="77777777" w:rsidR="0003663B" w:rsidRPr="008E1899" w:rsidRDefault="00000000">
            <w:pPr>
              <w:rPr>
                <w:rFonts w:asciiTheme="majorHAnsi" w:hAnsiTheme="majorHAnsi" w:cstheme="majorHAnsi"/>
              </w:rPr>
            </w:pPr>
            <w:r w:rsidRPr="008E1899">
              <w:rPr>
                <w:rFonts w:asciiTheme="majorHAnsi" w:hAnsiTheme="majorHAnsi" w:cstheme="majorHAnsi"/>
                <w:b/>
              </w:rPr>
              <w:t>Affected cohort(s) / reporting years</w:t>
            </w:r>
          </w:p>
        </w:tc>
        <w:tc>
          <w:tcPr>
            <w:tcW w:w="6192" w:type="dxa"/>
            <w:tcMar>
              <w:top w:w="100" w:type="dxa"/>
              <w:left w:w="120" w:type="dxa"/>
              <w:bottom w:w="100" w:type="dxa"/>
              <w:right w:w="120" w:type="dxa"/>
            </w:tcMar>
          </w:tcPr>
          <w:p w14:paraId="48B82C00"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16585A50" w14:textId="77777777">
        <w:trPr>
          <w:jc w:val="center"/>
        </w:trPr>
        <w:tc>
          <w:tcPr>
            <w:tcW w:w="3168" w:type="dxa"/>
            <w:shd w:val="clear" w:color="auto" w:fill="EAF3F6"/>
            <w:tcMar>
              <w:top w:w="100" w:type="dxa"/>
              <w:left w:w="120" w:type="dxa"/>
              <w:bottom w:w="100" w:type="dxa"/>
              <w:right w:w="120" w:type="dxa"/>
            </w:tcMar>
          </w:tcPr>
          <w:p w14:paraId="3BC86EEB" w14:textId="77777777" w:rsidR="0003663B" w:rsidRPr="008E1899" w:rsidRDefault="00000000">
            <w:pPr>
              <w:rPr>
                <w:rFonts w:asciiTheme="majorHAnsi" w:hAnsiTheme="majorHAnsi" w:cstheme="majorHAnsi"/>
              </w:rPr>
            </w:pPr>
            <w:r w:rsidRPr="008E1899">
              <w:rPr>
                <w:rFonts w:asciiTheme="majorHAnsi" w:hAnsiTheme="majorHAnsi" w:cstheme="majorHAnsi"/>
                <w:b/>
              </w:rPr>
              <w:t>Problem statement</w:t>
            </w:r>
          </w:p>
        </w:tc>
        <w:tc>
          <w:tcPr>
            <w:tcW w:w="6192" w:type="dxa"/>
            <w:tcMar>
              <w:top w:w="100" w:type="dxa"/>
              <w:left w:w="120" w:type="dxa"/>
              <w:bottom w:w="100" w:type="dxa"/>
              <w:right w:w="120" w:type="dxa"/>
            </w:tcMar>
          </w:tcPr>
          <w:p w14:paraId="1353F12F" w14:textId="77777777" w:rsidR="0003663B" w:rsidRPr="008E1899" w:rsidRDefault="00000000">
            <w:pPr>
              <w:rPr>
                <w:rFonts w:asciiTheme="majorHAnsi" w:hAnsiTheme="majorHAnsi" w:cstheme="majorHAnsi"/>
              </w:rPr>
            </w:pPr>
            <w:r w:rsidRPr="008E1899">
              <w:rPr>
                <w:rFonts w:asciiTheme="majorHAnsi" w:hAnsiTheme="majorHAnsi" w:cstheme="majorHAnsi"/>
              </w:rPr>
              <w:br/>
            </w:r>
            <w:r w:rsidRPr="008E1899">
              <w:rPr>
                <w:rFonts w:asciiTheme="majorHAnsi" w:hAnsiTheme="majorHAnsi" w:cstheme="majorHAnsi"/>
              </w:rPr>
              <w:br/>
            </w:r>
          </w:p>
        </w:tc>
      </w:tr>
      <w:tr w:rsidR="0003663B" w:rsidRPr="008E1899" w14:paraId="2BDD954D" w14:textId="77777777">
        <w:trPr>
          <w:jc w:val="center"/>
        </w:trPr>
        <w:tc>
          <w:tcPr>
            <w:tcW w:w="3168" w:type="dxa"/>
            <w:shd w:val="clear" w:color="auto" w:fill="EAF3F6"/>
            <w:tcMar>
              <w:top w:w="100" w:type="dxa"/>
              <w:left w:w="120" w:type="dxa"/>
              <w:bottom w:w="100" w:type="dxa"/>
              <w:right w:w="120" w:type="dxa"/>
            </w:tcMar>
          </w:tcPr>
          <w:p w14:paraId="568D786B" w14:textId="77777777" w:rsidR="0003663B" w:rsidRPr="008E1899" w:rsidRDefault="00000000">
            <w:pPr>
              <w:rPr>
                <w:rFonts w:asciiTheme="majorHAnsi" w:hAnsiTheme="majorHAnsi" w:cstheme="majorHAnsi"/>
              </w:rPr>
            </w:pPr>
            <w:r w:rsidRPr="008E1899">
              <w:rPr>
                <w:rFonts w:asciiTheme="majorHAnsi" w:hAnsiTheme="majorHAnsi" w:cstheme="majorHAnsi"/>
                <w:b/>
              </w:rPr>
              <w:t>Root-cause evidence</w:t>
            </w:r>
          </w:p>
        </w:tc>
        <w:tc>
          <w:tcPr>
            <w:tcW w:w="6192" w:type="dxa"/>
            <w:tcMar>
              <w:top w:w="100" w:type="dxa"/>
              <w:left w:w="120" w:type="dxa"/>
              <w:bottom w:w="100" w:type="dxa"/>
              <w:right w:w="120" w:type="dxa"/>
            </w:tcMar>
          </w:tcPr>
          <w:p w14:paraId="0C51740C" w14:textId="77777777" w:rsidR="0003663B" w:rsidRPr="008E1899" w:rsidRDefault="00000000">
            <w:pPr>
              <w:rPr>
                <w:rFonts w:asciiTheme="majorHAnsi" w:hAnsiTheme="majorHAnsi" w:cstheme="majorHAnsi"/>
              </w:rPr>
            </w:pPr>
            <w:r w:rsidRPr="008E1899">
              <w:rPr>
                <w:rFonts w:asciiTheme="majorHAnsi" w:hAnsiTheme="majorHAnsi" w:cstheme="majorHAnsi"/>
              </w:rPr>
              <w:br/>
            </w:r>
            <w:r w:rsidRPr="008E1899">
              <w:rPr>
                <w:rFonts w:asciiTheme="majorHAnsi" w:hAnsiTheme="majorHAnsi" w:cstheme="majorHAnsi"/>
              </w:rPr>
              <w:br/>
            </w:r>
          </w:p>
        </w:tc>
      </w:tr>
      <w:tr w:rsidR="0003663B" w:rsidRPr="008E1899" w14:paraId="6B0DD784" w14:textId="77777777">
        <w:trPr>
          <w:jc w:val="center"/>
        </w:trPr>
        <w:tc>
          <w:tcPr>
            <w:tcW w:w="3168" w:type="dxa"/>
            <w:shd w:val="clear" w:color="auto" w:fill="EAF3F6"/>
            <w:tcMar>
              <w:top w:w="100" w:type="dxa"/>
              <w:left w:w="120" w:type="dxa"/>
              <w:bottom w:w="100" w:type="dxa"/>
              <w:right w:w="120" w:type="dxa"/>
            </w:tcMar>
          </w:tcPr>
          <w:p w14:paraId="6EB57380" w14:textId="77777777" w:rsidR="0003663B" w:rsidRPr="008E1899" w:rsidRDefault="00000000">
            <w:pPr>
              <w:rPr>
                <w:rFonts w:asciiTheme="majorHAnsi" w:hAnsiTheme="majorHAnsi" w:cstheme="majorHAnsi"/>
              </w:rPr>
            </w:pPr>
            <w:r w:rsidRPr="008E1899">
              <w:rPr>
                <w:rFonts w:asciiTheme="majorHAnsi" w:hAnsiTheme="majorHAnsi" w:cstheme="majorHAnsi"/>
                <w:b/>
              </w:rPr>
              <w:t>Action 1: owner / start date / resources</w:t>
            </w:r>
          </w:p>
        </w:tc>
        <w:tc>
          <w:tcPr>
            <w:tcW w:w="6192" w:type="dxa"/>
            <w:tcMar>
              <w:top w:w="100" w:type="dxa"/>
              <w:left w:w="120" w:type="dxa"/>
              <w:bottom w:w="100" w:type="dxa"/>
              <w:right w:w="120" w:type="dxa"/>
            </w:tcMar>
          </w:tcPr>
          <w:p w14:paraId="421CEF1C" w14:textId="77777777" w:rsidR="0003663B" w:rsidRPr="008E1899" w:rsidRDefault="00000000">
            <w:pPr>
              <w:rPr>
                <w:rFonts w:asciiTheme="majorHAnsi" w:hAnsiTheme="majorHAnsi" w:cstheme="majorHAnsi"/>
              </w:rPr>
            </w:pPr>
            <w:r w:rsidRPr="008E1899">
              <w:rPr>
                <w:rFonts w:asciiTheme="majorHAnsi" w:hAnsiTheme="majorHAnsi" w:cstheme="majorHAnsi"/>
              </w:rPr>
              <w:br/>
            </w:r>
            <w:r w:rsidRPr="008E1899">
              <w:rPr>
                <w:rFonts w:asciiTheme="majorHAnsi" w:hAnsiTheme="majorHAnsi" w:cstheme="majorHAnsi"/>
              </w:rPr>
              <w:br/>
            </w:r>
          </w:p>
        </w:tc>
      </w:tr>
      <w:tr w:rsidR="0003663B" w:rsidRPr="008E1899" w14:paraId="6D5C5A1F" w14:textId="77777777">
        <w:trPr>
          <w:jc w:val="center"/>
        </w:trPr>
        <w:tc>
          <w:tcPr>
            <w:tcW w:w="3168" w:type="dxa"/>
            <w:shd w:val="clear" w:color="auto" w:fill="EAF3F6"/>
            <w:tcMar>
              <w:top w:w="100" w:type="dxa"/>
              <w:left w:w="120" w:type="dxa"/>
              <w:bottom w:w="100" w:type="dxa"/>
              <w:right w:w="120" w:type="dxa"/>
            </w:tcMar>
          </w:tcPr>
          <w:p w14:paraId="0D11D4B3" w14:textId="77777777" w:rsidR="0003663B" w:rsidRPr="008E1899" w:rsidRDefault="00000000">
            <w:pPr>
              <w:rPr>
                <w:rFonts w:asciiTheme="majorHAnsi" w:hAnsiTheme="majorHAnsi" w:cstheme="majorHAnsi"/>
              </w:rPr>
            </w:pPr>
            <w:r w:rsidRPr="008E1899">
              <w:rPr>
                <w:rFonts w:asciiTheme="majorHAnsi" w:hAnsiTheme="majorHAnsi" w:cstheme="majorHAnsi"/>
                <w:b/>
              </w:rPr>
              <w:t>Action 2: owner / start date / resources</w:t>
            </w:r>
          </w:p>
        </w:tc>
        <w:tc>
          <w:tcPr>
            <w:tcW w:w="6192" w:type="dxa"/>
            <w:tcMar>
              <w:top w:w="100" w:type="dxa"/>
              <w:left w:w="120" w:type="dxa"/>
              <w:bottom w:w="100" w:type="dxa"/>
              <w:right w:w="120" w:type="dxa"/>
            </w:tcMar>
          </w:tcPr>
          <w:p w14:paraId="00198051" w14:textId="77777777" w:rsidR="0003663B" w:rsidRPr="008E1899" w:rsidRDefault="00000000">
            <w:pPr>
              <w:rPr>
                <w:rFonts w:asciiTheme="majorHAnsi" w:hAnsiTheme="majorHAnsi" w:cstheme="majorHAnsi"/>
              </w:rPr>
            </w:pPr>
            <w:r w:rsidRPr="008E1899">
              <w:rPr>
                <w:rFonts w:asciiTheme="majorHAnsi" w:hAnsiTheme="majorHAnsi" w:cstheme="majorHAnsi"/>
              </w:rPr>
              <w:br/>
            </w:r>
            <w:r w:rsidRPr="008E1899">
              <w:rPr>
                <w:rFonts w:asciiTheme="majorHAnsi" w:hAnsiTheme="majorHAnsi" w:cstheme="majorHAnsi"/>
              </w:rPr>
              <w:br/>
            </w:r>
          </w:p>
        </w:tc>
      </w:tr>
      <w:tr w:rsidR="0003663B" w:rsidRPr="008E1899" w14:paraId="2123E72B" w14:textId="77777777">
        <w:trPr>
          <w:jc w:val="center"/>
        </w:trPr>
        <w:tc>
          <w:tcPr>
            <w:tcW w:w="3168" w:type="dxa"/>
            <w:shd w:val="clear" w:color="auto" w:fill="EAF3F6"/>
            <w:tcMar>
              <w:top w:w="100" w:type="dxa"/>
              <w:left w:w="120" w:type="dxa"/>
              <w:bottom w:w="100" w:type="dxa"/>
              <w:right w:w="120" w:type="dxa"/>
            </w:tcMar>
          </w:tcPr>
          <w:p w14:paraId="0AFA4809" w14:textId="77777777" w:rsidR="0003663B" w:rsidRPr="008E1899" w:rsidRDefault="00000000">
            <w:pPr>
              <w:rPr>
                <w:rFonts w:asciiTheme="majorHAnsi" w:hAnsiTheme="majorHAnsi" w:cstheme="majorHAnsi"/>
              </w:rPr>
            </w:pPr>
            <w:r w:rsidRPr="008E1899">
              <w:rPr>
                <w:rFonts w:asciiTheme="majorHAnsi" w:hAnsiTheme="majorHAnsi" w:cstheme="majorHAnsi"/>
                <w:b/>
              </w:rPr>
              <w:t>Process measure(s)</w:t>
            </w:r>
          </w:p>
        </w:tc>
        <w:tc>
          <w:tcPr>
            <w:tcW w:w="6192" w:type="dxa"/>
            <w:tcMar>
              <w:top w:w="100" w:type="dxa"/>
              <w:left w:w="120" w:type="dxa"/>
              <w:bottom w:w="100" w:type="dxa"/>
              <w:right w:w="120" w:type="dxa"/>
            </w:tcMar>
          </w:tcPr>
          <w:p w14:paraId="3EAA2A41"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03EC6FFA" w14:textId="77777777">
        <w:trPr>
          <w:jc w:val="center"/>
        </w:trPr>
        <w:tc>
          <w:tcPr>
            <w:tcW w:w="3168" w:type="dxa"/>
            <w:shd w:val="clear" w:color="auto" w:fill="EAF3F6"/>
            <w:tcMar>
              <w:top w:w="100" w:type="dxa"/>
              <w:left w:w="120" w:type="dxa"/>
              <w:bottom w:w="100" w:type="dxa"/>
              <w:right w:w="120" w:type="dxa"/>
            </w:tcMar>
          </w:tcPr>
          <w:p w14:paraId="79681125" w14:textId="77777777" w:rsidR="0003663B" w:rsidRPr="008E1899" w:rsidRDefault="00000000">
            <w:pPr>
              <w:rPr>
                <w:rFonts w:asciiTheme="majorHAnsi" w:hAnsiTheme="majorHAnsi" w:cstheme="majorHAnsi"/>
              </w:rPr>
            </w:pPr>
            <w:r w:rsidRPr="008E1899">
              <w:rPr>
                <w:rFonts w:asciiTheme="majorHAnsi" w:hAnsiTheme="majorHAnsi" w:cstheme="majorHAnsi"/>
                <w:b/>
              </w:rPr>
              <w:t>Outcome measure(s) and interim target(s)</w:t>
            </w:r>
          </w:p>
        </w:tc>
        <w:tc>
          <w:tcPr>
            <w:tcW w:w="6192" w:type="dxa"/>
            <w:tcMar>
              <w:top w:w="100" w:type="dxa"/>
              <w:left w:w="120" w:type="dxa"/>
              <w:bottom w:w="100" w:type="dxa"/>
              <w:right w:w="120" w:type="dxa"/>
            </w:tcMar>
          </w:tcPr>
          <w:p w14:paraId="28669EF2"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6E1AE0D6" w14:textId="77777777">
        <w:trPr>
          <w:jc w:val="center"/>
        </w:trPr>
        <w:tc>
          <w:tcPr>
            <w:tcW w:w="3168" w:type="dxa"/>
            <w:shd w:val="clear" w:color="auto" w:fill="EAF3F6"/>
            <w:tcMar>
              <w:top w:w="100" w:type="dxa"/>
              <w:left w:w="120" w:type="dxa"/>
              <w:bottom w:w="100" w:type="dxa"/>
              <w:right w:w="120" w:type="dxa"/>
            </w:tcMar>
          </w:tcPr>
          <w:p w14:paraId="209076EE" w14:textId="77777777" w:rsidR="0003663B" w:rsidRPr="008E1899" w:rsidRDefault="00000000">
            <w:pPr>
              <w:rPr>
                <w:rFonts w:asciiTheme="majorHAnsi" w:hAnsiTheme="majorHAnsi" w:cstheme="majorHAnsi"/>
              </w:rPr>
            </w:pPr>
            <w:r w:rsidRPr="008E1899">
              <w:rPr>
                <w:rFonts w:asciiTheme="majorHAnsi" w:hAnsiTheme="majorHAnsi" w:cstheme="majorHAnsi"/>
                <w:b/>
              </w:rPr>
              <w:t>Review dates and decision rules</w:t>
            </w:r>
          </w:p>
        </w:tc>
        <w:tc>
          <w:tcPr>
            <w:tcW w:w="6192" w:type="dxa"/>
            <w:tcMar>
              <w:top w:w="100" w:type="dxa"/>
              <w:left w:w="120" w:type="dxa"/>
              <w:bottom w:w="100" w:type="dxa"/>
              <w:right w:w="120" w:type="dxa"/>
            </w:tcMar>
          </w:tcPr>
          <w:p w14:paraId="612F4946"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0ADA6D31" w14:textId="77777777">
        <w:trPr>
          <w:jc w:val="center"/>
        </w:trPr>
        <w:tc>
          <w:tcPr>
            <w:tcW w:w="3168" w:type="dxa"/>
            <w:shd w:val="clear" w:color="auto" w:fill="EAF3F6"/>
            <w:tcMar>
              <w:top w:w="100" w:type="dxa"/>
              <w:left w:w="120" w:type="dxa"/>
              <w:bottom w:w="100" w:type="dxa"/>
              <w:right w:w="120" w:type="dxa"/>
            </w:tcMar>
          </w:tcPr>
          <w:p w14:paraId="18306CDA" w14:textId="77777777" w:rsidR="0003663B" w:rsidRPr="008E1899" w:rsidRDefault="00000000">
            <w:pPr>
              <w:rPr>
                <w:rFonts w:asciiTheme="majorHAnsi" w:hAnsiTheme="majorHAnsi" w:cstheme="majorHAnsi"/>
              </w:rPr>
            </w:pPr>
            <w:r w:rsidRPr="008E1899">
              <w:rPr>
                <w:rFonts w:asciiTheme="majorHAnsi" w:hAnsiTheme="majorHAnsi" w:cstheme="majorHAnsi"/>
                <w:b/>
              </w:rPr>
              <w:t>Evidence retained</w:t>
            </w:r>
          </w:p>
        </w:tc>
        <w:tc>
          <w:tcPr>
            <w:tcW w:w="6192" w:type="dxa"/>
            <w:tcMar>
              <w:top w:w="100" w:type="dxa"/>
              <w:left w:w="120" w:type="dxa"/>
              <w:bottom w:w="100" w:type="dxa"/>
              <w:right w:w="120" w:type="dxa"/>
            </w:tcMar>
          </w:tcPr>
          <w:p w14:paraId="14CCAB75"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r w:rsidR="0003663B" w:rsidRPr="008E1899" w14:paraId="05D63BC7" w14:textId="77777777">
        <w:trPr>
          <w:jc w:val="center"/>
        </w:trPr>
        <w:tc>
          <w:tcPr>
            <w:tcW w:w="3168" w:type="dxa"/>
            <w:shd w:val="clear" w:color="auto" w:fill="EAF3F6"/>
            <w:tcMar>
              <w:top w:w="100" w:type="dxa"/>
              <w:left w:w="120" w:type="dxa"/>
              <w:bottom w:w="100" w:type="dxa"/>
              <w:right w:w="120" w:type="dxa"/>
            </w:tcMar>
          </w:tcPr>
          <w:p w14:paraId="789BA16D" w14:textId="77777777" w:rsidR="0003663B" w:rsidRPr="008E1899" w:rsidRDefault="00000000">
            <w:pPr>
              <w:rPr>
                <w:rFonts w:asciiTheme="majorHAnsi" w:hAnsiTheme="majorHAnsi" w:cstheme="majorHAnsi"/>
              </w:rPr>
            </w:pPr>
            <w:r w:rsidRPr="008E1899">
              <w:rPr>
                <w:rFonts w:asciiTheme="majorHAnsi" w:hAnsiTheme="majorHAnsi" w:cstheme="majorHAnsi"/>
                <w:b/>
              </w:rPr>
              <w:t>Status / next decision</w:t>
            </w:r>
          </w:p>
        </w:tc>
        <w:tc>
          <w:tcPr>
            <w:tcW w:w="6192" w:type="dxa"/>
            <w:tcMar>
              <w:top w:w="100" w:type="dxa"/>
              <w:left w:w="120" w:type="dxa"/>
              <w:bottom w:w="100" w:type="dxa"/>
              <w:right w:w="120" w:type="dxa"/>
            </w:tcMar>
          </w:tcPr>
          <w:p w14:paraId="058CCE62" w14:textId="77777777" w:rsidR="0003663B" w:rsidRPr="008E1899" w:rsidRDefault="00000000">
            <w:pPr>
              <w:rPr>
                <w:rFonts w:asciiTheme="majorHAnsi" w:hAnsiTheme="majorHAnsi" w:cstheme="majorHAnsi"/>
              </w:rPr>
            </w:pPr>
            <w:r w:rsidRPr="008E1899">
              <w:rPr>
                <w:rFonts w:asciiTheme="majorHAnsi" w:hAnsiTheme="majorHAnsi" w:cstheme="majorHAnsi"/>
              </w:rPr>
              <w:br/>
            </w:r>
          </w:p>
        </w:tc>
      </w:tr>
    </w:tbl>
    <w:p w14:paraId="31BF3055" w14:textId="77777777" w:rsidR="003F6A0D" w:rsidRDefault="003F6A0D">
      <w:pPr>
        <w:pStyle w:val="Heading1"/>
        <w:rPr>
          <w:rFonts w:cstheme="majorHAnsi"/>
        </w:rPr>
      </w:pPr>
    </w:p>
    <w:p w14:paraId="06C00149" w14:textId="2C436D27" w:rsidR="0003663B" w:rsidRPr="008E1899" w:rsidRDefault="00000000">
      <w:pPr>
        <w:pStyle w:val="Heading1"/>
        <w:rPr>
          <w:rFonts w:cstheme="majorHAnsi"/>
        </w:rPr>
      </w:pPr>
      <w:r w:rsidRPr="008E1899">
        <w:rPr>
          <w:rFonts w:cstheme="majorHAnsi"/>
        </w:rPr>
        <w:t>11. Program Director Habits That Prevent Repeat Findings</w:t>
      </w:r>
    </w:p>
    <w:p w14:paraId="0EFE05A5"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Review Standards and Interpretive Guidelines at least annually and before major program changes; distinguish “must” requirements from “should” recommendations.</w:t>
      </w:r>
    </w:p>
    <w:p w14:paraId="422B404A"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the RCS as a management tool throughout the year, not only as an annual submission.</w:t>
      </w:r>
    </w:p>
    <w:p w14:paraId="104E3D50"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Maintain a standing outcomes dashboard with three-year averages plus leading indicators by cohort.</w:t>
      </w:r>
    </w:p>
    <w:p w14:paraId="2492E527"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Engage the DCE, Medical Director, faculty, and Advisory Committee in analysis so knowledge is distributed and decisions are documented.</w:t>
      </w:r>
    </w:p>
    <w:p w14:paraId="326DE0C3" w14:textId="7837D0B8" w:rsidR="0003663B" w:rsidRPr="008E1899" w:rsidRDefault="00000000">
      <w:pPr>
        <w:pStyle w:val="ListBullet"/>
        <w:rPr>
          <w:rFonts w:asciiTheme="majorHAnsi" w:hAnsiTheme="majorHAnsi" w:cstheme="majorHAnsi"/>
        </w:rPr>
      </w:pPr>
      <w:r w:rsidRPr="008E1899">
        <w:rPr>
          <w:rFonts w:asciiTheme="majorHAnsi" w:hAnsiTheme="majorHAnsi" w:cstheme="majorHAnsi"/>
        </w:rPr>
        <w:t>Build relationships with CoARC Executive Office staff and the assigned Referee</w:t>
      </w:r>
      <w:r w:rsidR="002542B0" w:rsidRPr="008E1899">
        <w:rPr>
          <w:rFonts w:asciiTheme="majorHAnsi" w:hAnsiTheme="majorHAnsi" w:cstheme="majorHAnsi"/>
        </w:rPr>
        <w:t xml:space="preserve"> (if applicable)</w:t>
      </w:r>
      <w:r w:rsidRPr="008E1899">
        <w:rPr>
          <w:rFonts w:asciiTheme="majorHAnsi" w:hAnsiTheme="majorHAnsi" w:cstheme="majorHAnsi"/>
        </w:rPr>
        <w:t>; verify policy/process questions at the source.</w:t>
      </w:r>
    </w:p>
    <w:p w14:paraId="3C545947"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Use peer mentorship with experienced Program Directors to review annual reports, handbooks, curriculum, and outcomes plans.</w:t>
      </w:r>
    </w:p>
    <w:p w14:paraId="0AF1DABA" w14:textId="77777777" w:rsidR="0003663B" w:rsidRPr="008E1899" w:rsidRDefault="00000000">
      <w:pPr>
        <w:pStyle w:val="ListBullet"/>
        <w:rPr>
          <w:rFonts w:asciiTheme="majorHAnsi" w:hAnsiTheme="majorHAnsi" w:cstheme="majorHAnsi"/>
        </w:rPr>
      </w:pPr>
      <w:r w:rsidRPr="008E1899">
        <w:rPr>
          <w:rFonts w:asciiTheme="majorHAnsi" w:hAnsiTheme="majorHAnsi" w:cstheme="majorHAnsi"/>
        </w:rPr>
        <w:t>Document sustained improvement over time—not just the existence of a new policy or intervention.</w:t>
      </w:r>
    </w:p>
    <w:p w14:paraId="7B60D48E" w14:textId="308E9A9D" w:rsidR="0003663B" w:rsidRPr="008E1899" w:rsidRDefault="000A5DA4">
      <w:pPr>
        <w:pStyle w:val="SourceNote"/>
        <w:rPr>
          <w:rFonts w:asciiTheme="majorHAnsi" w:hAnsiTheme="majorHAnsi" w:cstheme="majorHAnsi"/>
        </w:rPr>
      </w:pPr>
      <w:r w:rsidRPr="008E1899">
        <w:rPr>
          <w:rFonts w:asciiTheme="majorHAnsi" w:hAnsiTheme="majorHAnsi" w:cstheme="majorHAnsi"/>
        </w:rPr>
        <w:t xml:space="preserve"> </w:t>
      </w:r>
    </w:p>
    <w:p w14:paraId="4CC73443" w14:textId="77777777" w:rsidR="0003663B" w:rsidRPr="008E1899" w:rsidRDefault="00000000">
      <w:pPr>
        <w:pStyle w:val="Heading1"/>
        <w:rPr>
          <w:rFonts w:cstheme="majorHAnsi"/>
        </w:rPr>
      </w:pPr>
      <w:r w:rsidRPr="008E1899">
        <w:rPr>
          <w:rFonts w:cstheme="majorHAnsi"/>
        </w:rPr>
        <w:t>12. Online Benchmarking Context</w:t>
      </w:r>
    </w:p>
    <w:p w14:paraId="112CBEBE" w14:textId="259A43BE" w:rsidR="0003663B" w:rsidRPr="008E1899" w:rsidRDefault="00000000">
      <w:pPr>
        <w:rPr>
          <w:rFonts w:asciiTheme="majorHAnsi" w:hAnsiTheme="majorHAnsi" w:cstheme="majorHAnsi"/>
        </w:rPr>
      </w:pPr>
      <w:r w:rsidRPr="008E1899">
        <w:rPr>
          <w:rFonts w:asciiTheme="majorHAnsi" w:hAnsiTheme="majorHAnsi" w:cstheme="majorHAnsi"/>
        </w:rPr>
        <w:t>The 2025 CoARC Report on Accreditation provides useful context for setting internal performance targets above minimum compliance levels. For the 2025 RCS, CoARC reported a mean retention rate of 92% (</w:t>
      </w:r>
      <w:r w:rsidR="00BC1381">
        <w:rPr>
          <w:rFonts w:asciiTheme="majorHAnsi" w:hAnsiTheme="majorHAnsi" w:cstheme="majorHAnsi"/>
        </w:rPr>
        <w:t xml:space="preserve">with 4 programs below 70%) and a mean TMC High Cut Score success rate of 84% (with </w:t>
      </w:r>
      <w:r w:rsidRPr="008E1899">
        <w:rPr>
          <w:rFonts w:asciiTheme="majorHAnsi" w:hAnsiTheme="majorHAnsi" w:cstheme="majorHAnsi"/>
        </w:rPr>
        <w:t xml:space="preserve">29 programs below 60%). The report also shows </w:t>
      </w:r>
      <w:r w:rsidR="003A4BDB">
        <w:rPr>
          <w:rFonts w:asciiTheme="majorHAnsi" w:hAnsiTheme="majorHAnsi" w:cstheme="majorHAnsi"/>
        </w:rPr>
        <w:t xml:space="preserve">a very high mean employer satisfaction and identifies the number of programs that fall </w:t>
      </w:r>
      <w:r w:rsidRPr="008E1899">
        <w:rPr>
          <w:rFonts w:asciiTheme="majorHAnsi" w:hAnsiTheme="majorHAnsi" w:cstheme="majorHAnsi"/>
        </w:rPr>
        <w:t>below the 80% threshold. These data are benchmarks, not new thresholds.</w:t>
      </w:r>
    </w:p>
    <w:p w14:paraId="7C9E2EAD" w14:textId="77777777" w:rsidR="0003663B" w:rsidRPr="008E1899" w:rsidRDefault="00000000">
      <w:pPr>
        <w:pStyle w:val="SourceNote"/>
        <w:rPr>
          <w:rFonts w:asciiTheme="majorHAnsi" w:hAnsiTheme="majorHAnsi" w:cstheme="majorHAnsi"/>
        </w:rPr>
      </w:pPr>
      <w:r w:rsidRPr="008E1899">
        <w:rPr>
          <w:rFonts w:asciiTheme="majorHAnsi" w:hAnsiTheme="majorHAnsi" w:cstheme="majorHAnsi"/>
        </w:rPr>
        <w:t>Online source: CoARC, 2025 Report on Accreditation in Respiratory Care Education (published 2026), pp. 9 and 77.</w:t>
      </w:r>
    </w:p>
    <w:p w14:paraId="271EEDEE" w14:textId="75359233" w:rsidR="0003663B" w:rsidRPr="008E1899" w:rsidRDefault="0003663B">
      <w:pPr>
        <w:spacing w:after="40" w:line="240" w:lineRule="auto"/>
        <w:rPr>
          <w:rFonts w:asciiTheme="majorHAnsi" w:hAnsiTheme="majorHAnsi" w:cstheme="majorHAnsi"/>
        </w:rPr>
      </w:pPr>
    </w:p>
    <w:p w14:paraId="6ACC26A8" w14:textId="77777777" w:rsidR="0003663B" w:rsidRPr="008E1899" w:rsidRDefault="0003663B">
      <w:pPr>
        <w:spacing w:after="0"/>
        <w:rPr>
          <w:rFonts w:asciiTheme="majorHAnsi" w:hAnsiTheme="majorHAnsi" w:cstheme="majorHAnsi"/>
        </w:rPr>
      </w:pPr>
    </w:p>
    <w:sectPr w:rsidR="0003663B" w:rsidRPr="008E1899" w:rsidSect="004A7ED5">
      <w:headerReference w:type="default" r:id="rId8"/>
      <w:footerReference w:type="default" r:id="rId9"/>
      <w:pgSz w:w="12240" w:h="15840"/>
      <w:pgMar w:top="432" w:right="1080" w:bottom="936" w:left="1080" w:header="425" w:footer="5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9BB9" w14:textId="77777777" w:rsidR="00BA1D3D" w:rsidRDefault="00BA1D3D">
      <w:pPr>
        <w:spacing w:after="0" w:line="240" w:lineRule="auto"/>
      </w:pPr>
      <w:r>
        <w:separator/>
      </w:r>
    </w:p>
  </w:endnote>
  <w:endnote w:type="continuationSeparator" w:id="0">
    <w:p w14:paraId="643DCEAD" w14:textId="77777777" w:rsidR="00BA1D3D" w:rsidRDefault="00BA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iondi">
    <w:altName w:val="Copperplate Gothic Bold"/>
    <w:charset w:val="00"/>
    <w:family w:val="auto"/>
    <w:pitch w:val="variable"/>
    <w:sig w:usb0="0000000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34F8" w14:textId="69A92BC0" w:rsidR="0003663B" w:rsidRPr="00886D7F" w:rsidRDefault="00AC78FD" w:rsidP="00EA1AE3">
    <w:pPr>
      <w:pStyle w:val="Footer"/>
      <w:jc w:val="center"/>
      <w:rPr>
        <w:color w:val="4F81BD" w:themeColor="accent1"/>
        <w:sz w:val="18"/>
        <w:szCs w:val="18"/>
      </w:rPr>
    </w:pPr>
    <w:r w:rsidRPr="00886D7F">
      <w:rPr>
        <w:sz w:val="18"/>
        <w:szCs w:val="18"/>
      </w:rPr>
      <w:t>CoARC Resource Guide | Subthreshold Programmatic Outcomes</w:t>
    </w:r>
    <w:r w:rsidRPr="00886D7F">
      <w:rPr>
        <w:color w:val="4F81BD" w:themeColor="accent1"/>
        <w:sz w:val="18"/>
        <w:szCs w:val="18"/>
      </w:rPr>
      <w:t xml:space="preserve">                                                                      </w:t>
    </w:r>
    <w:r w:rsidRPr="00886D7F">
      <w:rPr>
        <w:sz w:val="18"/>
        <w:szCs w:val="18"/>
      </w:rPr>
      <w:t xml:space="preserve">Page </w:t>
    </w:r>
    <w:r w:rsidRPr="00886D7F">
      <w:rPr>
        <w:sz w:val="18"/>
        <w:szCs w:val="18"/>
      </w:rPr>
      <w:fldChar w:fldCharType="begin"/>
    </w:r>
    <w:r w:rsidRPr="00886D7F">
      <w:rPr>
        <w:sz w:val="18"/>
        <w:szCs w:val="18"/>
      </w:rPr>
      <w:instrText xml:space="preserve"> PAGE  \* Arabic  \* MERGEFORMAT </w:instrText>
    </w:r>
    <w:r w:rsidRPr="00886D7F">
      <w:rPr>
        <w:sz w:val="18"/>
        <w:szCs w:val="18"/>
      </w:rPr>
      <w:fldChar w:fldCharType="separate"/>
    </w:r>
    <w:r w:rsidRPr="00886D7F">
      <w:rPr>
        <w:noProof/>
        <w:sz w:val="18"/>
        <w:szCs w:val="18"/>
      </w:rPr>
      <w:t>2</w:t>
    </w:r>
    <w:r w:rsidRPr="00886D7F">
      <w:rPr>
        <w:sz w:val="18"/>
        <w:szCs w:val="18"/>
      </w:rPr>
      <w:fldChar w:fldCharType="end"/>
    </w:r>
    <w:r w:rsidRPr="00886D7F">
      <w:rPr>
        <w:sz w:val="18"/>
        <w:szCs w:val="18"/>
      </w:rPr>
      <w:t xml:space="preserve"> of </w:t>
    </w:r>
    <w:r w:rsidRPr="00886D7F">
      <w:rPr>
        <w:sz w:val="18"/>
        <w:szCs w:val="18"/>
      </w:rPr>
      <w:fldChar w:fldCharType="begin"/>
    </w:r>
    <w:r w:rsidRPr="00886D7F">
      <w:rPr>
        <w:sz w:val="18"/>
        <w:szCs w:val="18"/>
      </w:rPr>
      <w:instrText xml:space="preserve"> NUMPAGES  \* Arabic  \* MERGEFORMAT </w:instrText>
    </w:r>
    <w:r w:rsidRPr="00886D7F">
      <w:rPr>
        <w:sz w:val="18"/>
        <w:szCs w:val="18"/>
      </w:rPr>
      <w:fldChar w:fldCharType="separate"/>
    </w:r>
    <w:r w:rsidRPr="00886D7F">
      <w:rPr>
        <w:noProof/>
        <w:sz w:val="18"/>
        <w:szCs w:val="18"/>
      </w:rPr>
      <w:t>2</w:t>
    </w:r>
    <w:r w:rsidRPr="00886D7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51F6" w14:textId="77777777" w:rsidR="00BA1D3D" w:rsidRDefault="00BA1D3D">
      <w:pPr>
        <w:spacing w:after="0" w:line="240" w:lineRule="auto"/>
      </w:pPr>
      <w:r>
        <w:separator/>
      </w:r>
    </w:p>
  </w:footnote>
  <w:footnote w:type="continuationSeparator" w:id="0">
    <w:p w14:paraId="004A6309" w14:textId="77777777" w:rsidR="00BA1D3D" w:rsidRDefault="00BA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982F" w14:textId="77777777" w:rsidR="00C7625D" w:rsidRDefault="00C7625D" w:rsidP="00C7625D">
    <w:pPr>
      <w:pStyle w:val="Header"/>
      <w:jc w:val="center"/>
    </w:pPr>
    <w:r>
      <w:rPr>
        <w:noProof/>
      </w:rPr>
      <w:drawing>
        <wp:anchor distT="0" distB="0" distL="114300" distR="114300" simplePos="0" relativeHeight="251659264" behindDoc="1" locked="0" layoutInCell="1" allowOverlap="1" wp14:anchorId="040BEC9E" wp14:editId="5881159B">
          <wp:simplePos x="0" y="0"/>
          <wp:positionH relativeFrom="column">
            <wp:posOffset>-171450</wp:posOffset>
          </wp:positionH>
          <wp:positionV relativeFrom="paragraph">
            <wp:posOffset>-84455</wp:posOffset>
          </wp:positionV>
          <wp:extent cx="2057400" cy="608965"/>
          <wp:effectExtent l="0" t="0" r="0" b="635"/>
          <wp:wrapThrough wrapText="bothSides">
            <wp:wrapPolygon edited="0">
              <wp:start x="0" y="0"/>
              <wp:lineTo x="0" y="20947"/>
              <wp:lineTo x="21400" y="20947"/>
              <wp:lineTo x="21400" y="0"/>
              <wp:lineTo x="0" y="0"/>
            </wp:wrapPolygon>
          </wp:wrapThrough>
          <wp:docPr id="1576886319" name="Picture 1576886319" descr="coarc logo option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rc logo option 3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08965"/>
                  </a:xfrm>
                  <a:prstGeom prst="rect">
                    <a:avLst/>
                  </a:prstGeom>
                  <a:noFill/>
                </pic:spPr>
              </pic:pic>
            </a:graphicData>
          </a:graphic>
          <wp14:sizeRelH relativeFrom="page">
            <wp14:pctWidth>0</wp14:pctWidth>
          </wp14:sizeRelH>
          <wp14:sizeRelV relativeFrom="page">
            <wp14:pctHeight>0</wp14:pctHeight>
          </wp14:sizeRelV>
        </wp:anchor>
      </w:drawing>
    </w:r>
  </w:p>
  <w:p w14:paraId="074F30B3" w14:textId="77777777" w:rsidR="00C7625D" w:rsidRPr="00FD5532" w:rsidRDefault="00C7625D" w:rsidP="00C7625D">
    <w:pPr>
      <w:pStyle w:val="Header"/>
      <w:ind w:left="3330" w:hanging="900"/>
      <w:jc w:val="center"/>
      <w:rPr>
        <w:rFonts w:ascii="Biondi" w:hAnsi="Biondi" w:cs="Arial"/>
        <w:color w:val="5F497A" w:themeColor="accent4" w:themeShade="BF"/>
        <w:sz w:val="28"/>
        <w:szCs w:val="28"/>
      </w:rPr>
    </w:pPr>
    <w:r>
      <w:rPr>
        <w:rFonts w:ascii="Biondi" w:hAnsi="Biondi" w:cs="Arial"/>
        <w:color w:val="1F497D" w:themeColor="text2"/>
        <w:sz w:val="28"/>
        <w:szCs w:val="28"/>
      </w:rPr>
      <w:t xml:space="preserve">  </w:t>
    </w:r>
    <w:r w:rsidRPr="00FD5532">
      <w:rPr>
        <w:rFonts w:ascii="Biondi" w:hAnsi="Biondi" w:cs="Arial"/>
        <w:color w:val="5F497A" w:themeColor="accent4" w:themeShade="BF"/>
        <w:sz w:val="28"/>
        <w:szCs w:val="28"/>
      </w:rPr>
      <w:t>COMMISSION ON ACCREDITATION FOR RESPIRATORY CARE</w:t>
    </w:r>
  </w:p>
  <w:p w14:paraId="22B25A97" w14:textId="6BDF2E6A" w:rsidR="0003663B" w:rsidRPr="00C7625D" w:rsidRDefault="0003663B" w:rsidP="00C76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6268617">
    <w:abstractNumId w:val="8"/>
  </w:num>
  <w:num w:numId="2" w16cid:durableId="2068068280">
    <w:abstractNumId w:val="6"/>
  </w:num>
  <w:num w:numId="3" w16cid:durableId="848059936">
    <w:abstractNumId w:val="5"/>
  </w:num>
  <w:num w:numId="4" w16cid:durableId="2116053581">
    <w:abstractNumId w:val="4"/>
  </w:num>
  <w:num w:numId="5" w16cid:durableId="715468998">
    <w:abstractNumId w:val="7"/>
  </w:num>
  <w:num w:numId="6" w16cid:durableId="952978635">
    <w:abstractNumId w:val="3"/>
  </w:num>
  <w:num w:numId="7" w16cid:durableId="1771928408">
    <w:abstractNumId w:val="2"/>
  </w:num>
  <w:num w:numId="8" w16cid:durableId="241719262">
    <w:abstractNumId w:val="1"/>
  </w:num>
  <w:num w:numId="9" w16cid:durableId="53832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63B"/>
    <w:rsid w:val="0006063C"/>
    <w:rsid w:val="000A5DA4"/>
    <w:rsid w:val="00141431"/>
    <w:rsid w:val="0015074B"/>
    <w:rsid w:val="00187995"/>
    <w:rsid w:val="002542B0"/>
    <w:rsid w:val="0029639D"/>
    <w:rsid w:val="00325D01"/>
    <w:rsid w:val="00326F90"/>
    <w:rsid w:val="003A4BDB"/>
    <w:rsid w:val="003F6A0D"/>
    <w:rsid w:val="004A7ED5"/>
    <w:rsid w:val="00690198"/>
    <w:rsid w:val="00865301"/>
    <w:rsid w:val="00886D7F"/>
    <w:rsid w:val="008E1899"/>
    <w:rsid w:val="0094778D"/>
    <w:rsid w:val="00A50AB4"/>
    <w:rsid w:val="00AA1D8D"/>
    <w:rsid w:val="00AC78FD"/>
    <w:rsid w:val="00B2239D"/>
    <w:rsid w:val="00B47730"/>
    <w:rsid w:val="00BA1D3D"/>
    <w:rsid w:val="00BC1381"/>
    <w:rsid w:val="00BE4EAC"/>
    <w:rsid w:val="00C7625D"/>
    <w:rsid w:val="00CB0664"/>
    <w:rsid w:val="00CB1C7D"/>
    <w:rsid w:val="00CE0FC2"/>
    <w:rsid w:val="00DD3F94"/>
    <w:rsid w:val="00EA1AE3"/>
    <w:rsid w:val="00F656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B7DD49A3-931F-41AB-A2AE-6CFC7A8F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63A5F"/>
      <w:sz w:val="34"/>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C6B75"/>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C58B2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63A5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140"/>
    </w:pPr>
    <w:rPr>
      <w:rFonts w:ascii="Aptos" w:hAnsi="Aptos"/>
      <w:i/>
      <w:color w:val="5A6269"/>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2685</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CoARC Subthreshold Outcomes Resource Guide</dc:title>
  <dc:subject>Program director guide for improving subthreshold programmatic outcomes</dc:subject>
  <dc:creator>OpenAI</dc:creator>
  <cp:keywords>CoARC, respiratory care, program outcomes, retention, credentialing, satisfaction, accreditation</cp:keywords>
  <dc:description>generated by python-docx</dc:description>
  <cp:lastModifiedBy>Thomas Smalling</cp:lastModifiedBy>
  <cp:revision>26</cp:revision>
  <dcterms:created xsi:type="dcterms:W3CDTF">2013-12-23T23:15:00Z</dcterms:created>
  <dcterms:modified xsi:type="dcterms:W3CDTF">2026-08-10T05:24:00Z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f2dc9e8e-fb4b-4092-a74b-cbb1bd0c82dc</vt:lpwstr>
  </property>
</Properties>
</file>