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14542" w14:textId="77777777" w:rsidR="00252AC1" w:rsidRPr="004A6708" w:rsidRDefault="001B0806">
      <w:pPr>
        <w:pStyle w:val="Title"/>
        <w:jc w:val="center"/>
        <w:rPr>
          <w:rFonts w:cstheme="majorHAnsi"/>
        </w:rPr>
      </w:pPr>
      <w:r w:rsidRPr="004A6708">
        <w:rPr>
          <w:rFonts w:cstheme="majorHAnsi"/>
        </w:rPr>
        <w:t>Frequently Asked Questions</w:t>
      </w:r>
    </w:p>
    <w:p w14:paraId="23BAD08A" w14:textId="77777777" w:rsidR="00252AC1" w:rsidRPr="004A6708" w:rsidRDefault="001B0806">
      <w:pPr>
        <w:pStyle w:val="Subtitle"/>
        <w:jc w:val="center"/>
        <w:rPr>
          <w:rFonts w:cstheme="majorHAnsi"/>
        </w:rPr>
      </w:pPr>
      <w:r w:rsidRPr="004A6708">
        <w:rPr>
          <w:rFonts w:cstheme="majorHAnsi"/>
        </w:rPr>
        <w:t>CoARC Standards 2.03 and 2.07 | Program Director and Director of Clinical Education</w:t>
      </w:r>
    </w:p>
    <w:p w14:paraId="50DF169F" w14:textId="77777777" w:rsidR="00252AC1" w:rsidRPr="004A6708" w:rsidRDefault="001B0806">
      <w:pPr>
        <w:jc w:val="center"/>
        <w:rPr>
          <w:rFonts w:asciiTheme="majorHAnsi" w:hAnsiTheme="majorHAnsi" w:cstheme="majorHAnsi"/>
        </w:rPr>
      </w:pPr>
      <w:r w:rsidRPr="004A6708">
        <w:rPr>
          <w:rFonts w:asciiTheme="majorHAnsi" w:hAnsiTheme="majorHAnsi" w:cstheme="majorHAnsi"/>
          <w:b/>
          <w:color w:val="4F5B66"/>
          <w:sz w:val="26"/>
        </w:rPr>
        <w:t>Focus: Administrative Release Time</w:t>
      </w:r>
    </w:p>
    <w:tbl>
      <w:tblPr>
        <w:tblW w:w="0" w:type="auto"/>
        <w:jc w:val="center"/>
        <w:tblLayout w:type="fixed"/>
        <w:tblLook w:val="04A0" w:firstRow="1" w:lastRow="0" w:firstColumn="1" w:lastColumn="0" w:noHBand="0" w:noVBand="1"/>
      </w:tblPr>
      <w:tblGrid>
        <w:gridCol w:w="9936"/>
      </w:tblGrid>
      <w:tr w:rsidR="00252AC1" w:rsidRPr="004A6708" w14:paraId="0884C259" w14:textId="77777777">
        <w:trPr>
          <w:jc w:val="center"/>
        </w:trPr>
        <w:tc>
          <w:tcPr>
            <w:tcW w:w="9936" w:type="dxa"/>
            <w:shd w:val="clear" w:color="auto" w:fill="EAF2F8"/>
            <w:tcMar>
              <w:top w:w="120" w:type="dxa"/>
              <w:left w:w="120" w:type="dxa"/>
              <w:bottom w:w="120" w:type="dxa"/>
              <w:right w:w="120" w:type="dxa"/>
            </w:tcMar>
            <w:vAlign w:val="center"/>
          </w:tcPr>
          <w:p w14:paraId="1973BF76" w14:textId="77777777" w:rsidR="00252AC1" w:rsidRPr="004A6708" w:rsidRDefault="001B0806">
            <w:pPr>
              <w:jc w:val="center"/>
              <w:rPr>
                <w:rFonts w:asciiTheme="majorHAnsi" w:hAnsiTheme="majorHAnsi" w:cstheme="majorHAnsi"/>
              </w:rPr>
            </w:pPr>
            <w:r w:rsidRPr="004A6708">
              <w:rPr>
                <w:rFonts w:asciiTheme="majorHAnsi" w:hAnsiTheme="majorHAnsi" w:cstheme="majorHAnsi"/>
                <w:b/>
                <w:color w:val="1F4E78"/>
                <w:sz w:val="22"/>
              </w:rPr>
              <w:t>KEY POINT: The PD and DCE must each receive at least 25% formal, documented administrative release from the sponsor's standard full-time workload.</w:t>
            </w:r>
          </w:p>
        </w:tc>
      </w:tr>
    </w:tbl>
    <w:p w14:paraId="682097D0" w14:textId="77777777" w:rsidR="00252AC1" w:rsidRPr="004A6708" w:rsidRDefault="001B0806">
      <w:pPr>
        <w:rPr>
          <w:rFonts w:asciiTheme="majorHAnsi" w:hAnsiTheme="majorHAnsi" w:cstheme="majorHAnsi"/>
        </w:rPr>
      </w:pPr>
      <w:r w:rsidRPr="004A6708">
        <w:rPr>
          <w:rFonts w:asciiTheme="majorHAnsi" w:hAnsiTheme="majorHAnsi" w:cstheme="majorHAnsi"/>
          <w:b/>
        </w:rPr>
        <w:t xml:space="preserve">Reference: </w:t>
      </w:r>
      <w:r w:rsidRPr="004A6708">
        <w:rPr>
          <w:rFonts w:asciiTheme="majorHAnsi" w:hAnsiTheme="majorHAnsi" w:cstheme="majorHAnsi"/>
        </w:rPr>
        <w:t>CoARC 2027 Entry into Practice Standards, approved March 21, 2026; effective January 1, 2027. Standards 2.03 and 2.07, pp. 14-21.</w:t>
      </w:r>
    </w:p>
    <w:p w14:paraId="456CEB57" w14:textId="77777777" w:rsidR="00252AC1" w:rsidRPr="004A6708" w:rsidRDefault="001B0806">
      <w:pPr>
        <w:pStyle w:val="Heading1"/>
        <w:rPr>
          <w:rFonts w:cstheme="majorHAnsi"/>
        </w:rPr>
      </w:pPr>
      <w:r w:rsidRPr="004A6708">
        <w:rPr>
          <w:rFonts w:cstheme="majorHAnsi"/>
        </w:rPr>
        <w:t>Quick Reference</w:t>
      </w:r>
    </w:p>
    <w:tbl>
      <w:tblPr>
        <w:tblStyle w:val="LightList-Accent1"/>
        <w:tblW w:w="0" w:type="auto"/>
        <w:tblLook w:val="04A0" w:firstRow="1" w:lastRow="0" w:firstColumn="1" w:lastColumn="0" w:noHBand="0" w:noVBand="1"/>
      </w:tblPr>
      <w:tblGrid>
        <w:gridCol w:w="1596"/>
        <w:gridCol w:w="4323"/>
        <w:gridCol w:w="4463"/>
      </w:tblGrid>
      <w:tr w:rsidR="00252AC1" w:rsidRPr="004A6708" w14:paraId="4C9EA788" w14:textId="77777777" w:rsidTr="009071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7E8D4E34" w14:textId="77777777" w:rsidR="00252AC1" w:rsidRPr="004A6708" w:rsidRDefault="001B0806">
            <w:pPr>
              <w:rPr>
                <w:rFonts w:asciiTheme="majorHAnsi" w:hAnsiTheme="majorHAnsi" w:cstheme="majorHAnsi"/>
                <w:sz w:val="22"/>
                <w:szCs w:val="28"/>
              </w:rPr>
            </w:pPr>
            <w:r w:rsidRPr="004A6708">
              <w:rPr>
                <w:rFonts w:asciiTheme="majorHAnsi" w:hAnsiTheme="majorHAnsi" w:cstheme="majorHAnsi"/>
                <w:color w:val="FFFFFF"/>
                <w:sz w:val="22"/>
                <w:szCs w:val="28"/>
              </w:rPr>
              <w:t>Topic</w:t>
            </w:r>
          </w:p>
        </w:tc>
        <w:tc>
          <w:tcPr>
            <w:tcW w:w="0" w:type="auto"/>
            <w:tcBorders>
              <w:bottom w:val="single" w:sz="4" w:space="0" w:color="auto"/>
            </w:tcBorders>
          </w:tcPr>
          <w:p w14:paraId="0DFE2CC9" w14:textId="77777777" w:rsidR="00252AC1" w:rsidRPr="004A6708" w:rsidRDefault="001B080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8"/>
              </w:rPr>
            </w:pPr>
            <w:r w:rsidRPr="004A6708">
              <w:rPr>
                <w:rFonts w:asciiTheme="majorHAnsi" w:hAnsiTheme="majorHAnsi" w:cstheme="majorHAnsi"/>
                <w:color w:val="FFFFFF"/>
                <w:sz w:val="22"/>
                <w:szCs w:val="28"/>
              </w:rPr>
              <w:t>Program Director (2.03)</w:t>
            </w:r>
          </w:p>
        </w:tc>
        <w:tc>
          <w:tcPr>
            <w:tcW w:w="0" w:type="auto"/>
            <w:tcBorders>
              <w:bottom w:val="single" w:sz="4" w:space="0" w:color="auto"/>
            </w:tcBorders>
          </w:tcPr>
          <w:p w14:paraId="6B08D34A" w14:textId="77777777" w:rsidR="00252AC1" w:rsidRPr="004A6708" w:rsidRDefault="001B080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8"/>
              </w:rPr>
            </w:pPr>
            <w:r w:rsidRPr="004A6708">
              <w:rPr>
                <w:rFonts w:asciiTheme="majorHAnsi" w:hAnsiTheme="majorHAnsi" w:cstheme="majorHAnsi"/>
                <w:color w:val="FFFFFF"/>
                <w:sz w:val="22"/>
                <w:szCs w:val="28"/>
              </w:rPr>
              <w:t>Director of Clinical Education (2.07)</w:t>
            </w:r>
          </w:p>
        </w:tc>
      </w:tr>
      <w:tr w:rsidR="00252AC1" w:rsidRPr="004A6708" w14:paraId="25A97EBD" w14:textId="77777777" w:rsidTr="00907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14:paraId="7D8DEABD" w14:textId="77777777" w:rsidR="00252AC1" w:rsidRPr="004A6708" w:rsidRDefault="001B0806">
            <w:pPr>
              <w:rPr>
                <w:rFonts w:asciiTheme="majorHAnsi" w:hAnsiTheme="majorHAnsi" w:cstheme="majorHAnsi"/>
                <w:sz w:val="20"/>
                <w:szCs w:val="24"/>
              </w:rPr>
            </w:pPr>
            <w:r w:rsidRPr="004A6708">
              <w:rPr>
                <w:rFonts w:asciiTheme="majorHAnsi" w:hAnsiTheme="majorHAnsi" w:cstheme="majorHAnsi"/>
                <w:sz w:val="20"/>
                <w:szCs w:val="24"/>
              </w:rPr>
              <w:t>Minimum release</w:t>
            </w:r>
          </w:p>
        </w:tc>
        <w:tc>
          <w:tcPr>
            <w:tcW w:w="0" w:type="auto"/>
            <w:tcBorders>
              <w:top w:val="single" w:sz="4" w:space="0" w:color="auto"/>
              <w:left w:val="single" w:sz="4" w:space="0" w:color="auto"/>
              <w:bottom w:val="single" w:sz="4" w:space="0" w:color="auto"/>
              <w:right w:val="single" w:sz="4" w:space="0" w:color="auto"/>
            </w:tcBorders>
          </w:tcPr>
          <w:p w14:paraId="487348CD" w14:textId="77777777" w:rsidR="00252AC1" w:rsidRPr="004A6708" w:rsidRDefault="001B080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At least 25%</w:t>
            </w:r>
          </w:p>
        </w:tc>
        <w:tc>
          <w:tcPr>
            <w:tcW w:w="0" w:type="auto"/>
            <w:tcBorders>
              <w:top w:val="single" w:sz="4" w:space="0" w:color="auto"/>
              <w:left w:val="single" w:sz="4" w:space="0" w:color="auto"/>
              <w:bottom w:val="single" w:sz="4" w:space="0" w:color="auto"/>
              <w:right w:val="single" w:sz="4" w:space="0" w:color="auto"/>
            </w:tcBorders>
          </w:tcPr>
          <w:p w14:paraId="09BCA8EF" w14:textId="77777777" w:rsidR="00252AC1" w:rsidRPr="004A6708" w:rsidRDefault="001B080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At least 25%</w:t>
            </w:r>
          </w:p>
        </w:tc>
      </w:tr>
      <w:tr w:rsidR="00252AC1" w:rsidRPr="004A6708" w14:paraId="4F9A8EC6" w14:textId="77777777" w:rsidTr="00907160">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14:paraId="726FEF0D" w14:textId="77777777" w:rsidR="00252AC1" w:rsidRPr="004A6708" w:rsidRDefault="001B0806">
            <w:pPr>
              <w:rPr>
                <w:rFonts w:asciiTheme="majorHAnsi" w:hAnsiTheme="majorHAnsi" w:cstheme="majorHAnsi"/>
                <w:sz w:val="20"/>
                <w:szCs w:val="24"/>
              </w:rPr>
            </w:pPr>
            <w:r w:rsidRPr="004A6708">
              <w:rPr>
                <w:rFonts w:asciiTheme="majorHAnsi" w:hAnsiTheme="majorHAnsi" w:cstheme="majorHAnsi"/>
                <w:sz w:val="20"/>
                <w:szCs w:val="24"/>
              </w:rPr>
              <w:t>Basis</w:t>
            </w:r>
          </w:p>
        </w:tc>
        <w:tc>
          <w:tcPr>
            <w:tcW w:w="0" w:type="auto"/>
            <w:tcBorders>
              <w:top w:val="single" w:sz="4" w:space="0" w:color="auto"/>
              <w:left w:val="single" w:sz="4" w:space="0" w:color="auto"/>
              <w:bottom w:val="single" w:sz="4" w:space="0" w:color="auto"/>
              <w:right w:val="single" w:sz="4" w:space="0" w:color="auto"/>
            </w:tcBorders>
          </w:tcPr>
          <w:p w14:paraId="4B32B01F" w14:textId="77777777" w:rsidR="00252AC1" w:rsidRPr="004A6708" w:rsidRDefault="001B080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Sponsor's standard full-time workload</w:t>
            </w:r>
          </w:p>
        </w:tc>
        <w:tc>
          <w:tcPr>
            <w:tcW w:w="0" w:type="auto"/>
            <w:tcBorders>
              <w:top w:val="single" w:sz="4" w:space="0" w:color="auto"/>
              <w:left w:val="single" w:sz="4" w:space="0" w:color="auto"/>
              <w:bottom w:val="single" w:sz="4" w:space="0" w:color="auto"/>
              <w:right w:val="single" w:sz="4" w:space="0" w:color="auto"/>
            </w:tcBorders>
          </w:tcPr>
          <w:p w14:paraId="729B6C67" w14:textId="77777777" w:rsidR="00252AC1" w:rsidRPr="004A6708" w:rsidRDefault="001B080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Sponsor's standard full-time workload</w:t>
            </w:r>
          </w:p>
        </w:tc>
      </w:tr>
      <w:tr w:rsidR="00252AC1" w:rsidRPr="004A6708" w14:paraId="12C1DF98" w14:textId="77777777" w:rsidTr="00907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14:paraId="7764165F" w14:textId="77777777" w:rsidR="00252AC1" w:rsidRPr="004A6708" w:rsidRDefault="001B0806">
            <w:pPr>
              <w:rPr>
                <w:rFonts w:asciiTheme="majorHAnsi" w:hAnsiTheme="majorHAnsi" w:cstheme="majorHAnsi"/>
                <w:sz w:val="20"/>
                <w:szCs w:val="24"/>
              </w:rPr>
            </w:pPr>
            <w:r w:rsidRPr="004A6708">
              <w:rPr>
                <w:rFonts w:asciiTheme="majorHAnsi" w:hAnsiTheme="majorHAnsi" w:cstheme="majorHAnsi"/>
                <w:sz w:val="20"/>
                <w:szCs w:val="24"/>
              </w:rPr>
              <w:t>May reduce</w:t>
            </w:r>
          </w:p>
        </w:tc>
        <w:tc>
          <w:tcPr>
            <w:tcW w:w="0" w:type="auto"/>
            <w:tcBorders>
              <w:top w:val="single" w:sz="4" w:space="0" w:color="auto"/>
              <w:left w:val="single" w:sz="4" w:space="0" w:color="auto"/>
              <w:bottom w:val="single" w:sz="4" w:space="0" w:color="auto"/>
              <w:right w:val="single" w:sz="4" w:space="0" w:color="auto"/>
            </w:tcBorders>
          </w:tcPr>
          <w:p w14:paraId="55BB2F8C" w14:textId="77777777" w:rsidR="00252AC1" w:rsidRPr="004A6708" w:rsidRDefault="001B080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Teaching, research, and/or service</w:t>
            </w:r>
          </w:p>
        </w:tc>
        <w:tc>
          <w:tcPr>
            <w:tcW w:w="0" w:type="auto"/>
            <w:tcBorders>
              <w:top w:val="single" w:sz="4" w:space="0" w:color="auto"/>
              <w:left w:val="single" w:sz="4" w:space="0" w:color="auto"/>
              <w:bottom w:val="single" w:sz="4" w:space="0" w:color="auto"/>
              <w:right w:val="single" w:sz="4" w:space="0" w:color="auto"/>
            </w:tcBorders>
          </w:tcPr>
          <w:p w14:paraId="091C0393" w14:textId="77777777" w:rsidR="00252AC1" w:rsidRPr="004A6708" w:rsidRDefault="001B080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Teaching, research, and/or service</w:t>
            </w:r>
          </w:p>
        </w:tc>
      </w:tr>
      <w:tr w:rsidR="00252AC1" w:rsidRPr="004A6708" w14:paraId="6D9C22FD" w14:textId="77777777" w:rsidTr="00907160">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14:paraId="32AB7EBF" w14:textId="77777777" w:rsidR="00252AC1" w:rsidRPr="004A6708" w:rsidRDefault="001B0806">
            <w:pPr>
              <w:rPr>
                <w:rFonts w:asciiTheme="majorHAnsi" w:hAnsiTheme="majorHAnsi" w:cstheme="majorHAnsi"/>
                <w:sz w:val="20"/>
                <w:szCs w:val="24"/>
              </w:rPr>
            </w:pPr>
            <w:r w:rsidRPr="004A6708">
              <w:rPr>
                <w:rFonts w:asciiTheme="majorHAnsi" w:hAnsiTheme="majorHAnsi" w:cstheme="majorHAnsi"/>
                <w:sz w:val="20"/>
                <w:szCs w:val="24"/>
              </w:rPr>
              <w:t>Does not count</w:t>
            </w:r>
          </w:p>
        </w:tc>
        <w:tc>
          <w:tcPr>
            <w:tcW w:w="0" w:type="auto"/>
            <w:tcBorders>
              <w:top w:val="single" w:sz="4" w:space="0" w:color="auto"/>
              <w:left w:val="single" w:sz="4" w:space="0" w:color="auto"/>
              <w:bottom w:val="single" w:sz="4" w:space="0" w:color="auto"/>
              <w:right w:val="single" w:sz="4" w:space="0" w:color="auto"/>
            </w:tcBorders>
          </w:tcPr>
          <w:p w14:paraId="782A2586" w14:textId="77777777" w:rsidR="00252AC1" w:rsidRPr="004A6708" w:rsidRDefault="001B080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Stipends; teaching-related activities</w:t>
            </w:r>
          </w:p>
        </w:tc>
        <w:tc>
          <w:tcPr>
            <w:tcW w:w="0" w:type="auto"/>
            <w:tcBorders>
              <w:top w:val="single" w:sz="4" w:space="0" w:color="auto"/>
              <w:left w:val="single" w:sz="4" w:space="0" w:color="auto"/>
              <w:bottom w:val="single" w:sz="4" w:space="0" w:color="auto"/>
              <w:right w:val="single" w:sz="4" w:space="0" w:color="auto"/>
            </w:tcBorders>
          </w:tcPr>
          <w:p w14:paraId="03EE721B" w14:textId="77777777" w:rsidR="00252AC1" w:rsidRPr="004A6708" w:rsidRDefault="001B080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Stipends; teaching-related activities</w:t>
            </w:r>
          </w:p>
        </w:tc>
      </w:tr>
      <w:tr w:rsidR="00252AC1" w:rsidRPr="004A6708" w14:paraId="46D48B15" w14:textId="77777777" w:rsidTr="00907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14:paraId="19F7320F" w14:textId="77777777" w:rsidR="00252AC1" w:rsidRPr="004A6708" w:rsidRDefault="001B0806">
            <w:pPr>
              <w:rPr>
                <w:rFonts w:asciiTheme="majorHAnsi" w:hAnsiTheme="majorHAnsi" w:cstheme="majorHAnsi"/>
                <w:sz w:val="20"/>
                <w:szCs w:val="24"/>
              </w:rPr>
            </w:pPr>
            <w:r w:rsidRPr="004A6708">
              <w:rPr>
                <w:rFonts w:asciiTheme="majorHAnsi" w:hAnsiTheme="majorHAnsi" w:cstheme="majorHAnsi"/>
                <w:sz w:val="20"/>
                <w:szCs w:val="24"/>
              </w:rPr>
              <w:t>Purpose</w:t>
            </w:r>
          </w:p>
        </w:tc>
        <w:tc>
          <w:tcPr>
            <w:tcW w:w="0" w:type="auto"/>
            <w:tcBorders>
              <w:top w:val="single" w:sz="4" w:space="0" w:color="auto"/>
              <w:left w:val="single" w:sz="4" w:space="0" w:color="auto"/>
              <w:bottom w:val="single" w:sz="4" w:space="0" w:color="auto"/>
              <w:right w:val="single" w:sz="4" w:space="0" w:color="auto"/>
            </w:tcBorders>
          </w:tcPr>
          <w:p w14:paraId="3B481D86" w14:textId="77777777" w:rsidR="00252AC1" w:rsidRPr="004A6708" w:rsidRDefault="001B080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Program administration, leadership, accreditation, assessment, planning, oversight</w:t>
            </w:r>
          </w:p>
        </w:tc>
        <w:tc>
          <w:tcPr>
            <w:tcW w:w="0" w:type="auto"/>
            <w:tcBorders>
              <w:top w:val="single" w:sz="4" w:space="0" w:color="auto"/>
              <w:left w:val="single" w:sz="4" w:space="0" w:color="auto"/>
              <w:bottom w:val="single" w:sz="4" w:space="0" w:color="auto"/>
              <w:right w:val="single" w:sz="4" w:space="0" w:color="auto"/>
            </w:tcBorders>
          </w:tcPr>
          <w:p w14:paraId="58A180BC" w14:textId="77777777" w:rsidR="00252AC1" w:rsidRPr="004A6708" w:rsidRDefault="001B080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Clinical education administration, leadership, accreditation, assessment, site oversight</w:t>
            </w:r>
          </w:p>
        </w:tc>
      </w:tr>
      <w:tr w:rsidR="00252AC1" w:rsidRPr="004A6708" w14:paraId="49256CA0" w14:textId="77777777" w:rsidTr="00907160">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tcPr>
          <w:p w14:paraId="62E875D9" w14:textId="77777777" w:rsidR="00252AC1" w:rsidRPr="004A6708" w:rsidRDefault="001B0806">
            <w:pPr>
              <w:rPr>
                <w:rFonts w:asciiTheme="majorHAnsi" w:hAnsiTheme="majorHAnsi" w:cstheme="majorHAnsi"/>
                <w:sz w:val="20"/>
                <w:szCs w:val="24"/>
              </w:rPr>
            </w:pPr>
            <w:r w:rsidRPr="004A6708">
              <w:rPr>
                <w:rFonts w:asciiTheme="majorHAnsi" w:hAnsiTheme="majorHAnsi" w:cstheme="majorHAnsi"/>
                <w:sz w:val="20"/>
                <w:szCs w:val="24"/>
              </w:rPr>
              <w:t>Documentation</w:t>
            </w:r>
          </w:p>
        </w:tc>
        <w:tc>
          <w:tcPr>
            <w:tcW w:w="0" w:type="auto"/>
            <w:tcBorders>
              <w:top w:val="single" w:sz="4" w:space="0" w:color="auto"/>
              <w:left w:val="single" w:sz="4" w:space="0" w:color="auto"/>
              <w:bottom w:val="single" w:sz="4" w:space="0" w:color="auto"/>
              <w:right w:val="single" w:sz="4" w:space="0" w:color="auto"/>
            </w:tcBorders>
          </w:tcPr>
          <w:p w14:paraId="0AFE0224" w14:textId="77777777" w:rsidR="00252AC1" w:rsidRPr="004A6708" w:rsidRDefault="001B080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Workload form, sponsor policy, appointment/job description, workload evidence</w:t>
            </w:r>
          </w:p>
        </w:tc>
        <w:tc>
          <w:tcPr>
            <w:tcW w:w="0" w:type="auto"/>
            <w:tcBorders>
              <w:top w:val="single" w:sz="4" w:space="0" w:color="auto"/>
              <w:left w:val="single" w:sz="4" w:space="0" w:color="auto"/>
              <w:bottom w:val="single" w:sz="4" w:space="0" w:color="auto"/>
              <w:right w:val="single" w:sz="4" w:space="0" w:color="auto"/>
            </w:tcBorders>
          </w:tcPr>
          <w:p w14:paraId="4DA4DFAA" w14:textId="77777777" w:rsidR="00252AC1" w:rsidRPr="004A6708" w:rsidRDefault="001B080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4"/>
              </w:rPr>
            </w:pPr>
            <w:r w:rsidRPr="004A6708">
              <w:rPr>
                <w:rFonts w:asciiTheme="majorHAnsi" w:hAnsiTheme="majorHAnsi" w:cstheme="majorHAnsi"/>
                <w:sz w:val="20"/>
                <w:szCs w:val="24"/>
              </w:rPr>
              <w:t>Workload form, sponsor policy, appointment/job description, workload evidence</w:t>
            </w:r>
          </w:p>
        </w:tc>
      </w:tr>
    </w:tbl>
    <w:p w14:paraId="3BC5173C" w14:textId="77777777" w:rsidR="00252AC1" w:rsidRPr="004A6708" w:rsidRDefault="001B0806">
      <w:pPr>
        <w:pStyle w:val="Heading1"/>
        <w:rPr>
          <w:rFonts w:cstheme="majorHAnsi"/>
        </w:rPr>
      </w:pPr>
      <w:r w:rsidRPr="004A6708">
        <w:rPr>
          <w:rFonts w:cstheme="majorHAnsi"/>
        </w:rPr>
        <w:t>Frequently Asked Questions</w:t>
      </w:r>
    </w:p>
    <w:p w14:paraId="13191BDC"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 What is the primary requirement of Standard 2.03 for the Program Director (PD)?</w:t>
      </w:r>
    </w:p>
    <w:p w14:paraId="454E9034" w14:textId="4E3FE5CA" w:rsidR="00252AC1" w:rsidRPr="004A6708" w:rsidRDefault="001B0806" w:rsidP="00E16F3E">
      <w:pPr>
        <w:keepLines/>
        <w:jc w:val="both"/>
        <w:rPr>
          <w:rFonts w:asciiTheme="majorHAnsi" w:hAnsiTheme="majorHAnsi" w:cstheme="majorHAnsi"/>
          <w:sz w:val="22"/>
          <w:szCs w:val="24"/>
        </w:rPr>
      </w:pPr>
      <w:r w:rsidRPr="004A6708">
        <w:rPr>
          <w:rFonts w:asciiTheme="majorHAnsi" w:hAnsiTheme="majorHAnsi" w:cstheme="majorHAnsi"/>
          <w:sz w:val="22"/>
          <w:szCs w:val="24"/>
        </w:rPr>
        <w:t xml:space="preserve">The PD must provide effective leadership for the program, including communication, ongoing program planning and assessment, and fiscal management. The sponsor must </w:t>
      </w:r>
      <w:r w:rsidR="00E16F3E" w:rsidRPr="004A6708">
        <w:rPr>
          <w:rFonts w:asciiTheme="majorHAnsi" w:hAnsiTheme="majorHAnsi" w:cstheme="majorHAnsi"/>
          <w:sz w:val="22"/>
          <w:szCs w:val="24"/>
        </w:rPr>
        <w:t>demonstrate that sufficient time is allocated for the PD to</w:t>
      </w:r>
      <w:r w:rsidRPr="004A6708">
        <w:rPr>
          <w:rFonts w:asciiTheme="majorHAnsi" w:hAnsiTheme="majorHAnsi" w:cstheme="majorHAnsi"/>
          <w:sz w:val="22"/>
          <w:szCs w:val="24"/>
        </w:rPr>
        <w:t xml:space="preserve"> meet both educational and administrative responsibilities. The PD also serves as the academic and administrative leader of the program and all applicable program options.</w:t>
      </w:r>
    </w:p>
    <w:p w14:paraId="71FEE717"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2. What is the primary requirement of Standard 2.07 for the Director of Clinical Education (DCE)?</w:t>
      </w:r>
    </w:p>
    <w:p w14:paraId="5AF45324" w14:textId="77777777" w:rsidR="00252AC1" w:rsidRPr="004A6708" w:rsidRDefault="001B0806" w:rsidP="00E16F3E">
      <w:pPr>
        <w:keepLines/>
        <w:jc w:val="both"/>
        <w:rPr>
          <w:rFonts w:asciiTheme="majorHAnsi" w:hAnsiTheme="majorHAnsi" w:cstheme="majorHAnsi"/>
          <w:sz w:val="22"/>
          <w:szCs w:val="24"/>
        </w:rPr>
      </w:pPr>
      <w:r w:rsidRPr="004A6708">
        <w:rPr>
          <w:rFonts w:asciiTheme="majorHAnsi" w:hAnsiTheme="majorHAnsi" w:cstheme="majorHAnsi"/>
          <w:sz w:val="22"/>
          <w:szCs w:val="24"/>
        </w:rPr>
        <w:t>The DCE must provide effective leadership in developing, conducting, and continuously assessing the clinical education program. The DCE is responsible for coordinating, overseeing, and documenting clinical education activities, including clinical site evaluation, student supervision and assessment, and alignment of clinical experiences with the curriculum, program goals, and expected competencies.</w:t>
      </w:r>
    </w:p>
    <w:p w14:paraId="6A267A98"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3. Do both the PD and DCE have a minimum administrative release-time requirement?</w:t>
      </w:r>
    </w:p>
    <w:p w14:paraId="613A1659" w14:textId="79948829" w:rsidR="00252AC1" w:rsidRPr="004A6708" w:rsidRDefault="001B0806" w:rsidP="00E16F3E">
      <w:pPr>
        <w:keepLines/>
        <w:jc w:val="both"/>
        <w:rPr>
          <w:rFonts w:asciiTheme="majorHAnsi" w:hAnsiTheme="majorHAnsi" w:cstheme="majorHAnsi"/>
          <w:sz w:val="22"/>
          <w:szCs w:val="24"/>
        </w:rPr>
      </w:pPr>
      <w:r w:rsidRPr="004A6708">
        <w:rPr>
          <w:rFonts w:asciiTheme="majorHAnsi" w:hAnsiTheme="majorHAnsi" w:cstheme="majorHAnsi"/>
          <w:sz w:val="22"/>
          <w:szCs w:val="24"/>
        </w:rPr>
        <w:t xml:space="preserve">Yes. Each position must receive </w:t>
      </w:r>
      <w:r w:rsidR="005E6E69" w:rsidRPr="004A6708">
        <w:rPr>
          <w:rFonts w:asciiTheme="majorHAnsi" w:hAnsiTheme="majorHAnsi" w:cstheme="majorHAnsi"/>
          <w:sz w:val="22"/>
          <w:szCs w:val="24"/>
        </w:rPr>
        <w:t>a formal, documented release time of at least</w:t>
      </w:r>
      <w:r w:rsidRPr="004A6708">
        <w:rPr>
          <w:rFonts w:asciiTheme="majorHAnsi" w:hAnsiTheme="majorHAnsi" w:cstheme="majorHAnsi"/>
          <w:sz w:val="22"/>
          <w:szCs w:val="24"/>
        </w:rPr>
        <w:t xml:space="preserve"> 25% of the sponsor's standard full-time workload. The requirement applies individually to the PD and individually to the DCE; it is not a combined allocation shared between the two roles.</w:t>
      </w:r>
    </w:p>
    <w:p w14:paraId="0C783B36"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lastRenderedPageBreak/>
        <w:t>4. How is the 25% administrative release calculated?</w:t>
      </w:r>
    </w:p>
    <w:p w14:paraId="7B844926" w14:textId="77777777" w:rsidR="00252AC1" w:rsidRPr="004A6708" w:rsidRDefault="001B0806" w:rsidP="00E16F3E">
      <w:pPr>
        <w:keepLines/>
        <w:jc w:val="both"/>
        <w:rPr>
          <w:rFonts w:asciiTheme="majorHAnsi" w:hAnsiTheme="majorHAnsi" w:cstheme="majorHAnsi"/>
          <w:sz w:val="22"/>
          <w:szCs w:val="24"/>
        </w:rPr>
      </w:pPr>
      <w:r w:rsidRPr="004A6708">
        <w:rPr>
          <w:rFonts w:asciiTheme="majorHAnsi" w:hAnsiTheme="majorHAnsi" w:cstheme="majorHAnsi"/>
          <w:sz w:val="22"/>
          <w:szCs w:val="24"/>
        </w:rPr>
        <w:t>The 25% is calculated from the sponsor's standard full-time workload. For example, if a full-time teaching assignment is 15 credit hours per semester, 25% is approximately 3.75 credit hours per semester. If the institution uses hours, workload units, research assignments, or service assignments instead of teaching credits, it must document an equivalent reduction of at least 25% of the full-time assignment.</w:t>
      </w:r>
    </w:p>
    <w:p w14:paraId="1CF74266" w14:textId="77777777" w:rsidR="00252AC1" w:rsidRPr="004A6708" w:rsidRDefault="001B0806">
      <w:pPr>
        <w:pStyle w:val="FAQQuestion"/>
        <w:rPr>
          <w:rFonts w:asciiTheme="majorHAnsi" w:hAnsiTheme="majorHAnsi" w:cstheme="majorHAnsi"/>
        </w:rPr>
      </w:pPr>
      <w:r w:rsidRPr="004A6708">
        <w:rPr>
          <w:rFonts w:asciiTheme="majorHAnsi" w:hAnsiTheme="majorHAnsi" w:cstheme="majorHAnsi"/>
        </w:rPr>
        <w:t>5. Does the 25% mean the PD and DCE can spend only 25% of their time on administration?</w:t>
      </w:r>
    </w:p>
    <w:p w14:paraId="54BB05D1" w14:textId="77777777" w:rsidR="00252AC1" w:rsidRPr="004A6708" w:rsidRDefault="001B0806" w:rsidP="005E6E69">
      <w:pPr>
        <w:keepLines/>
        <w:jc w:val="both"/>
        <w:rPr>
          <w:rFonts w:asciiTheme="majorHAnsi" w:hAnsiTheme="majorHAnsi" w:cstheme="majorHAnsi"/>
          <w:sz w:val="22"/>
          <w:szCs w:val="24"/>
        </w:rPr>
      </w:pPr>
      <w:r w:rsidRPr="004A6708">
        <w:rPr>
          <w:rFonts w:asciiTheme="majorHAnsi" w:hAnsiTheme="majorHAnsi" w:cstheme="majorHAnsi"/>
          <w:sz w:val="22"/>
          <w:szCs w:val="24"/>
        </w:rPr>
        <w:t>No. Twenty-five percent is the minimum required release, not a maximum. A program may need to provide more than 25% administrative time depending on program size, complexity, program options, additional assigned duties, or institutional expectations.</w:t>
      </w:r>
    </w:p>
    <w:p w14:paraId="25DAF6B3"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6. Does administrative release time have to come entirely from teaching?</w:t>
      </w:r>
    </w:p>
    <w:p w14:paraId="5C36E759" w14:textId="650B5ACE" w:rsidR="00252AC1" w:rsidRPr="004A6708" w:rsidRDefault="001B0806" w:rsidP="005E6E69">
      <w:pPr>
        <w:keepLines/>
        <w:jc w:val="both"/>
        <w:rPr>
          <w:rFonts w:asciiTheme="majorHAnsi" w:hAnsiTheme="majorHAnsi" w:cstheme="majorHAnsi"/>
          <w:sz w:val="22"/>
          <w:szCs w:val="24"/>
        </w:rPr>
      </w:pPr>
      <w:r w:rsidRPr="004A6708">
        <w:rPr>
          <w:rFonts w:asciiTheme="majorHAnsi" w:hAnsiTheme="majorHAnsi" w:cstheme="majorHAnsi"/>
          <w:sz w:val="22"/>
          <w:szCs w:val="24"/>
        </w:rPr>
        <w:t xml:space="preserve">No. The required reduction may occur in one or more </w:t>
      </w:r>
      <w:r w:rsidR="005E6E69" w:rsidRPr="004A6708">
        <w:rPr>
          <w:rFonts w:asciiTheme="majorHAnsi" w:hAnsiTheme="majorHAnsi" w:cstheme="majorHAnsi"/>
          <w:sz w:val="22"/>
          <w:szCs w:val="24"/>
        </w:rPr>
        <w:t xml:space="preserve">of the </w:t>
      </w:r>
      <w:r w:rsidR="002C7E2F" w:rsidRPr="004A6708">
        <w:rPr>
          <w:rFonts w:asciiTheme="majorHAnsi" w:hAnsiTheme="majorHAnsi" w:cstheme="majorHAnsi"/>
          <w:sz w:val="22"/>
          <w:szCs w:val="24"/>
        </w:rPr>
        <w:t>following</w:t>
      </w:r>
      <w:r w:rsidRPr="004A6708">
        <w:rPr>
          <w:rFonts w:asciiTheme="majorHAnsi" w:hAnsiTheme="majorHAnsi" w:cstheme="majorHAnsi"/>
          <w:sz w:val="22"/>
          <w:szCs w:val="24"/>
        </w:rPr>
        <w:t xml:space="preserve"> areas: teaching, research, or service. The institution should use its normal workload model and clearly document how the reduction is calculated.</w:t>
      </w:r>
    </w:p>
    <w:p w14:paraId="4156359F"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7. What PD activities may be supported by administrative release time?</w:t>
      </w:r>
    </w:p>
    <w:p w14:paraId="2353EB02" w14:textId="77777777" w:rsidR="00252AC1" w:rsidRPr="004A6708" w:rsidRDefault="001B0806" w:rsidP="005E6E69">
      <w:pPr>
        <w:keepLines/>
        <w:jc w:val="both"/>
        <w:rPr>
          <w:rFonts w:asciiTheme="majorHAnsi" w:hAnsiTheme="majorHAnsi" w:cstheme="majorHAnsi"/>
          <w:sz w:val="22"/>
          <w:szCs w:val="24"/>
        </w:rPr>
      </w:pPr>
      <w:r w:rsidRPr="004A6708">
        <w:rPr>
          <w:rFonts w:asciiTheme="majorHAnsi" w:hAnsiTheme="majorHAnsi" w:cstheme="majorHAnsi"/>
          <w:sz w:val="22"/>
          <w:szCs w:val="24"/>
        </w:rPr>
        <w:t>Examples include program administration and operational oversight; coordination of clinical education with didactic and laboratory components; accreditation reports, self-studies, and annual assessments; program assessment and evaluation; faculty recruitment, mentorship, and evaluation; student recruitment, advising, and retention; and institutional or professional service related to program administration.</w:t>
      </w:r>
    </w:p>
    <w:p w14:paraId="656B61D3"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8. What DCE activities may be supported by administrative release time?</w:t>
      </w:r>
    </w:p>
    <w:p w14:paraId="6394BB09" w14:textId="77777777" w:rsidR="00252AC1" w:rsidRPr="004A6708" w:rsidRDefault="001B0806" w:rsidP="005E6E69">
      <w:pPr>
        <w:keepLines/>
        <w:jc w:val="both"/>
        <w:rPr>
          <w:rFonts w:asciiTheme="majorHAnsi" w:hAnsiTheme="majorHAnsi" w:cstheme="majorHAnsi"/>
          <w:sz w:val="22"/>
          <w:szCs w:val="24"/>
        </w:rPr>
      </w:pPr>
      <w:r w:rsidRPr="004A6708">
        <w:rPr>
          <w:rFonts w:asciiTheme="majorHAnsi" w:hAnsiTheme="majorHAnsi" w:cstheme="majorHAnsi"/>
          <w:sz w:val="22"/>
          <w:szCs w:val="24"/>
        </w:rPr>
        <w:t>Examples include administration and operational oversight of clinical education; coordination of clinical education with didactic and laboratory components; accreditation reports, self-studies, and annual assessments; assessment and evaluation of clinical education; student recruitment, advising, and retention; and institutional or professional service related to clinical education administration.</w:t>
      </w:r>
    </w:p>
    <w:p w14:paraId="5BD82AE0"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9. Do teaching-related activities count toward the 25% administrative release?</w:t>
      </w:r>
    </w:p>
    <w:p w14:paraId="0EF1AEB7" w14:textId="77777777" w:rsidR="00252AC1" w:rsidRPr="004A6708" w:rsidRDefault="001B0806" w:rsidP="005E6E69">
      <w:pPr>
        <w:keepLines/>
        <w:jc w:val="both"/>
        <w:rPr>
          <w:rFonts w:asciiTheme="majorHAnsi" w:hAnsiTheme="majorHAnsi" w:cstheme="majorHAnsi"/>
          <w:sz w:val="22"/>
          <w:szCs w:val="24"/>
        </w:rPr>
      </w:pPr>
      <w:r w:rsidRPr="004A6708">
        <w:rPr>
          <w:rFonts w:asciiTheme="majorHAnsi" w:hAnsiTheme="majorHAnsi" w:cstheme="majorHAnsi"/>
          <w:sz w:val="22"/>
          <w:szCs w:val="24"/>
        </w:rPr>
        <w:t>No. Teaching-related activities, including setting up didactic, laboratory, and simulation activities, do not count as workload release. The release must reflect a documented workload reduction that provides time for administrative responsibilities.</w:t>
      </w:r>
    </w:p>
    <w:p w14:paraId="68C86610"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10. Can a stipend be used instead of administrative release time?</w:t>
      </w:r>
    </w:p>
    <w:p w14:paraId="6B006DDE" w14:textId="77777777" w:rsidR="00252AC1" w:rsidRPr="004A6708" w:rsidRDefault="001B0806" w:rsidP="005E6E69">
      <w:pPr>
        <w:keepLines/>
        <w:jc w:val="both"/>
        <w:rPr>
          <w:rFonts w:asciiTheme="majorHAnsi" w:hAnsiTheme="majorHAnsi" w:cstheme="majorHAnsi"/>
          <w:sz w:val="22"/>
          <w:szCs w:val="24"/>
        </w:rPr>
      </w:pPr>
      <w:r w:rsidRPr="004A6708">
        <w:rPr>
          <w:rFonts w:asciiTheme="majorHAnsi" w:hAnsiTheme="majorHAnsi" w:cstheme="majorHAnsi"/>
          <w:sz w:val="22"/>
          <w:szCs w:val="24"/>
        </w:rPr>
        <w:t>No. A stipend does not substitute for the required administrative release. The Standards specifically exclude stipends from the calculation. Compliance requires an actual, documented reduction from the standard full-time workload.</w:t>
      </w:r>
    </w:p>
    <w:p w14:paraId="0A83D9BC"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11. Can professional development count toward the 25%?</w:t>
      </w:r>
    </w:p>
    <w:p w14:paraId="7F44ACFA" w14:textId="77777777" w:rsidR="00252AC1" w:rsidRPr="004A6708" w:rsidRDefault="001B0806" w:rsidP="005E6E69">
      <w:pPr>
        <w:keepLines/>
        <w:jc w:val="both"/>
        <w:rPr>
          <w:rFonts w:asciiTheme="majorHAnsi" w:hAnsiTheme="majorHAnsi" w:cstheme="majorHAnsi"/>
          <w:sz w:val="22"/>
          <w:szCs w:val="24"/>
        </w:rPr>
      </w:pPr>
      <w:r w:rsidRPr="004A6708">
        <w:rPr>
          <w:rFonts w:asciiTheme="majorHAnsi" w:hAnsiTheme="majorHAnsi" w:cstheme="majorHAnsi"/>
          <w:sz w:val="22"/>
          <w:szCs w:val="24"/>
        </w:rPr>
        <w:t>Only in limited circumstances. Professional development may count when it directly supports program management, accreditation, assessment, or compliance with the Standards. General professional development unrelated to those functions does not count toward the 25% administrative release requirement.</w:t>
      </w:r>
    </w:p>
    <w:p w14:paraId="08ACEF0E"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lastRenderedPageBreak/>
        <w:t>12. What if the PD or DCE also serves as a Department Chair, Dean, or other institutional leader?</w:t>
      </w:r>
    </w:p>
    <w:p w14:paraId="6D5BA5DA" w14:textId="5962EA97" w:rsidR="00252AC1" w:rsidRPr="004A6708" w:rsidRDefault="001B0806" w:rsidP="002C7E2F">
      <w:pPr>
        <w:keepLines/>
        <w:jc w:val="both"/>
        <w:rPr>
          <w:rFonts w:asciiTheme="majorHAnsi" w:hAnsiTheme="majorHAnsi" w:cstheme="majorHAnsi"/>
          <w:sz w:val="22"/>
          <w:szCs w:val="24"/>
        </w:rPr>
      </w:pPr>
      <w:r w:rsidRPr="004A6708">
        <w:rPr>
          <w:rFonts w:asciiTheme="majorHAnsi" w:hAnsiTheme="majorHAnsi" w:cstheme="majorHAnsi"/>
          <w:sz w:val="22"/>
          <w:szCs w:val="24"/>
        </w:rPr>
        <w:t xml:space="preserve">Additional leadership roles do not eliminate the release-time requirement. The individual's total workload must still allow sufficient time to fulfill the responsibilities of the PD or DCE role. Programs should be able to </w:t>
      </w:r>
      <w:r w:rsidR="002C7E2F" w:rsidRPr="004A6708">
        <w:rPr>
          <w:rFonts w:asciiTheme="majorHAnsi" w:hAnsiTheme="majorHAnsi" w:cstheme="majorHAnsi"/>
          <w:sz w:val="22"/>
          <w:szCs w:val="24"/>
        </w:rPr>
        <w:t xml:space="preserve">demonstrate an appropriate balance of workload </w:t>
      </w:r>
      <w:r w:rsidRPr="004A6708">
        <w:rPr>
          <w:rFonts w:asciiTheme="majorHAnsi" w:hAnsiTheme="majorHAnsi" w:cstheme="majorHAnsi"/>
          <w:sz w:val="22"/>
          <w:szCs w:val="24"/>
        </w:rPr>
        <w:t>when the PD or DCE has other leadership, teaching, clinical practice, research, or service responsibilities.</w:t>
      </w:r>
    </w:p>
    <w:p w14:paraId="6FF69E1E"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13. Can the PD and DCE share the administrative release allocation?</w:t>
      </w:r>
    </w:p>
    <w:p w14:paraId="631CE3E6" w14:textId="77777777" w:rsidR="00252AC1" w:rsidRPr="004A6708" w:rsidRDefault="001B0806" w:rsidP="002C7E2F">
      <w:pPr>
        <w:keepLines/>
        <w:jc w:val="both"/>
        <w:rPr>
          <w:rFonts w:asciiTheme="majorHAnsi" w:hAnsiTheme="majorHAnsi" w:cstheme="majorHAnsi"/>
          <w:sz w:val="22"/>
          <w:szCs w:val="24"/>
        </w:rPr>
      </w:pPr>
      <w:r w:rsidRPr="004A6708">
        <w:rPr>
          <w:rFonts w:asciiTheme="majorHAnsi" w:hAnsiTheme="majorHAnsi" w:cstheme="majorHAnsi"/>
          <w:sz w:val="22"/>
          <w:szCs w:val="24"/>
        </w:rPr>
        <w:t>No. The PD and DCE have distinct leadership and administrative responsibilities. Each role must independently receive the required minimum 25% documented administrative release.</w:t>
      </w:r>
    </w:p>
    <w:p w14:paraId="665FEA42"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14. Can one person serve as both PD and DCE and use the same 25% release for both roles?</w:t>
      </w:r>
    </w:p>
    <w:p w14:paraId="08AAE1E9" w14:textId="77777777" w:rsidR="00252AC1" w:rsidRPr="004A6708" w:rsidRDefault="001B0806" w:rsidP="005D2C52">
      <w:pPr>
        <w:keepLines/>
        <w:jc w:val="both"/>
        <w:rPr>
          <w:rFonts w:asciiTheme="majorHAnsi" w:hAnsiTheme="majorHAnsi" w:cstheme="majorHAnsi"/>
          <w:sz w:val="22"/>
          <w:szCs w:val="24"/>
        </w:rPr>
      </w:pPr>
      <w:r w:rsidRPr="004A6708">
        <w:rPr>
          <w:rFonts w:asciiTheme="majorHAnsi" w:hAnsiTheme="majorHAnsi" w:cstheme="majorHAnsi"/>
          <w:sz w:val="22"/>
          <w:szCs w:val="24"/>
        </w:rPr>
        <w:t>The provisions in Standards 2.03 and 2.07 do not establish a mechanism for combining the two release-time requirements. Programs should not assume that one 25% allocation satisfies both roles without specific CoARC guidance.</w:t>
      </w:r>
    </w:p>
    <w:p w14:paraId="1EA96BC2"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15. Is the 25% release requirement only for accreditation work?</w:t>
      </w:r>
    </w:p>
    <w:p w14:paraId="6497A939" w14:textId="77777777" w:rsidR="00252AC1" w:rsidRPr="004A6708" w:rsidRDefault="001B0806" w:rsidP="005D2C52">
      <w:pPr>
        <w:keepLines/>
        <w:jc w:val="both"/>
        <w:rPr>
          <w:rFonts w:asciiTheme="majorHAnsi" w:hAnsiTheme="majorHAnsi" w:cstheme="majorHAnsi"/>
          <w:sz w:val="22"/>
          <w:szCs w:val="24"/>
        </w:rPr>
      </w:pPr>
      <w:r w:rsidRPr="004A6708">
        <w:rPr>
          <w:rFonts w:asciiTheme="majorHAnsi" w:hAnsiTheme="majorHAnsi" w:cstheme="majorHAnsi"/>
          <w:sz w:val="22"/>
          <w:szCs w:val="24"/>
        </w:rPr>
        <w:t>No. For both positions, the 25% release is intended to support the full scope of administrative and leadership responsibilities. For the PD, this includes program planning, assessment, fiscal and faculty oversight, sponsor collaboration, and accreditation. For the DCE, it includes clinical education administration, site oversight, assessment, planning, coordination, sponsor collaboration, and accreditation.</w:t>
      </w:r>
    </w:p>
    <w:p w14:paraId="2943CEF1"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16. What documentation should programs maintain to demonstrate compliance for the PD?</w:t>
      </w:r>
    </w:p>
    <w:p w14:paraId="2966C839" w14:textId="77777777" w:rsidR="00252AC1" w:rsidRPr="004A6708" w:rsidRDefault="001B0806" w:rsidP="006C4FD0">
      <w:pPr>
        <w:keepLines/>
        <w:jc w:val="both"/>
        <w:rPr>
          <w:rFonts w:asciiTheme="majorHAnsi" w:hAnsiTheme="majorHAnsi" w:cstheme="majorHAnsi"/>
          <w:sz w:val="22"/>
          <w:szCs w:val="24"/>
        </w:rPr>
      </w:pPr>
      <w:r w:rsidRPr="004A6708">
        <w:rPr>
          <w:rFonts w:asciiTheme="majorHAnsi" w:hAnsiTheme="majorHAnsi" w:cstheme="majorHAnsi"/>
          <w:sz w:val="22"/>
          <w:szCs w:val="24"/>
        </w:rPr>
        <w:t>Programs should maintain the CoARC Teaching and Administrative Workload Form, the sponsor's workload policy, and documentation verifying at least 25% formal administrative release from the standard full-time workload. Supporting evidence also includes the PD appointment and acceptance documentation, current job description, organizational chart, and workload documentation when the PD has additional roles.</w:t>
      </w:r>
    </w:p>
    <w:p w14:paraId="671BEFEC"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17. What documentation should programs maintain to demonstrate compliance for the DCE?</w:t>
      </w:r>
    </w:p>
    <w:p w14:paraId="35D019EF" w14:textId="77777777" w:rsidR="00252AC1" w:rsidRPr="004A6708" w:rsidRDefault="001B0806" w:rsidP="006C4FD0">
      <w:pPr>
        <w:keepLines/>
        <w:jc w:val="both"/>
        <w:rPr>
          <w:rFonts w:asciiTheme="majorHAnsi" w:hAnsiTheme="majorHAnsi" w:cstheme="majorHAnsi"/>
          <w:sz w:val="22"/>
          <w:szCs w:val="24"/>
        </w:rPr>
      </w:pPr>
      <w:r w:rsidRPr="004A6708">
        <w:rPr>
          <w:rFonts w:asciiTheme="majorHAnsi" w:hAnsiTheme="majorHAnsi" w:cstheme="majorHAnsi"/>
          <w:sz w:val="22"/>
          <w:szCs w:val="24"/>
        </w:rPr>
        <w:t>Programs should maintain the CoARC Teaching and Administrative Workload Form, the sponsor's workload policy, and documentation verifying at least 25% formal administrative release. Supporting evidence also includes the DCE appointment and acceptance documentation, job description, organizational chart, evidence of clinical education oversight and site management, coordination with the PD, and workload documentation when the DCE has additional roles.</w:t>
      </w:r>
    </w:p>
    <w:p w14:paraId="0B7FC091"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18. What is the simplest way to determine whether a workload model meets the 25% requirement?</w:t>
      </w:r>
    </w:p>
    <w:p w14:paraId="3F0B2CE1" w14:textId="77777777" w:rsidR="00252AC1" w:rsidRPr="004A6708" w:rsidRDefault="001B0806" w:rsidP="006C4FD0">
      <w:pPr>
        <w:keepLines/>
        <w:jc w:val="both"/>
        <w:rPr>
          <w:rFonts w:asciiTheme="majorHAnsi" w:hAnsiTheme="majorHAnsi" w:cstheme="majorHAnsi"/>
          <w:sz w:val="22"/>
          <w:szCs w:val="24"/>
        </w:rPr>
      </w:pPr>
      <w:r w:rsidRPr="004A6708">
        <w:rPr>
          <w:rFonts w:asciiTheme="majorHAnsi" w:hAnsiTheme="majorHAnsi" w:cstheme="majorHAnsi"/>
          <w:sz w:val="22"/>
          <w:szCs w:val="24"/>
        </w:rPr>
        <w:t>Start with the institution's normal 100% full-time workload for a comparable faculty member. Then determine whether the PD's assignment and the DCE's assignment each show a formal, documented reduction of at least 25% to support qualifying administrative responsibilities. The reduction may be expressed in credit hours, percentages, hours, workload units, research, service, or another documented institutional model.</w:t>
      </w:r>
    </w:p>
    <w:p w14:paraId="2AC5820A"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t>19. What common misunderstandings should programs avoid?</w:t>
      </w:r>
    </w:p>
    <w:p w14:paraId="761A8C5A" w14:textId="77777777" w:rsidR="00252AC1" w:rsidRPr="004A6708" w:rsidRDefault="001B0806" w:rsidP="006C4FD0">
      <w:pPr>
        <w:keepLines/>
        <w:jc w:val="both"/>
        <w:rPr>
          <w:rFonts w:asciiTheme="majorHAnsi" w:hAnsiTheme="majorHAnsi" w:cstheme="majorHAnsi"/>
          <w:sz w:val="22"/>
          <w:szCs w:val="24"/>
        </w:rPr>
      </w:pPr>
      <w:r w:rsidRPr="004A6708">
        <w:rPr>
          <w:rFonts w:asciiTheme="majorHAnsi" w:hAnsiTheme="majorHAnsi" w:cstheme="majorHAnsi"/>
          <w:sz w:val="22"/>
          <w:szCs w:val="24"/>
        </w:rPr>
        <w:t>Programs should not treat the 25% as a stipend, count ordinary teaching preparation or lab/simulation setup as administrative release, limit the release only to accreditation work, or assume that a PD or DCE title alone demonstrates compliance. The requirement is for a formal, documented workload reduction that creates actual capacity for administrative and leadership responsibilities.</w:t>
      </w:r>
    </w:p>
    <w:p w14:paraId="738746E9" w14:textId="77777777" w:rsidR="00252AC1" w:rsidRPr="004A6708" w:rsidRDefault="001B0806">
      <w:pPr>
        <w:pStyle w:val="FAQQuestion"/>
        <w:rPr>
          <w:rFonts w:asciiTheme="majorHAnsi" w:hAnsiTheme="majorHAnsi" w:cstheme="majorHAnsi"/>
          <w:sz w:val="24"/>
          <w:szCs w:val="24"/>
        </w:rPr>
      </w:pPr>
      <w:r w:rsidRPr="004A6708">
        <w:rPr>
          <w:rFonts w:asciiTheme="majorHAnsi" w:hAnsiTheme="majorHAnsi" w:cstheme="majorHAnsi"/>
          <w:sz w:val="24"/>
          <w:szCs w:val="24"/>
        </w:rPr>
        <w:lastRenderedPageBreak/>
        <w:t>20. What is the key takeaway for sponsors?</w:t>
      </w:r>
    </w:p>
    <w:p w14:paraId="27B86057" w14:textId="77777777" w:rsidR="00252AC1" w:rsidRPr="004A6708" w:rsidRDefault="001B0806" w:rsidP="005E6E69">
      <w:pPr>
        <w:keepLines/>
        <w:jc w:val="both"/>
        <w:rPr>
          <w:rFonts w:asciiTheme="majorHAnsi" w:hAnsiTheme="majorHAnsi" w:cstheme="majorHAnsi"/>
          <w:sz w:val="22"/>
          <w:szCs w:val="24"/>
        </w:rPr>
      </w:pPr>
      <w:r w:rsidRPr="004A6708">
        <w:rPr>
          <w:rFonts w:asciiTheme="majorHAnsi" w:hAnsiTheme="majorHAnsi" w:cstheme="majorHAnsi"/>
          <w:sz w:val="22"/>
          <w:szCs w:val="24"/>
        </w:rPr>
        <w:t>For both Standard 2.03 and Standard 2.07, the key is time plus documentation. The PD and DCE must each have sufficient time to perform their leadership and administrative functions, and each workload must demonstrate at least 25% formal administrative release from the sponsor's standard full-time workload. That release cannot be replaced by a stipend or by ordinary teaching-related activity.</w:t>
      </w:r>
    </w:p>
    <w:p w14:paraId="0648FD27" w14:textId="77777777" w:rsidR="00281A2C" w:rsidRPr="004A6708" w:rsidRDefault="00281A2C" w:rsidP="00281A2C">
      <w:pPr>
        <w:pStyle w:val="FAQQuestion"/>
        <w:rPr>
          <w:rFonts w:asciiTheme="majorHAnsi" w:hAnsiTheme="majorHAnsi" w:cstheme="majorHAnsi"/>
          <w:sz w:val="24"/>
          <w:szCs w:val="24"/>
        </w:rPr>
      </w:pPr>
      <w:r w:rsidRPr="004A6708">
        <w:rPr>
          <w:rFonts w:asciiTheme="majorHAnsi" w:hAnsiTheme="majorHAnsi" w:cstheme="majorHAnsi"/>
          <w:sz w:val="24"/>
          <w:szCs w:val="24"/>
        </w:rPr>
        <w:t>21. Is the 25% administrative release time compounded when a program has additional program options, such as an ADT or satellite location?</w:t>
      </w:r>
    </w:p>
    <w:p w14:paraId="56498C1F" w14:textId="7989B7EE" w:rsidR="00B6432D" w:rsidRPr="004A6708" w:rsidRDefault="00281A2C" w:rsidP="00981D8D">
      <w:pPr>
        <w:keepLines/>
        <w:jc w:val="both"/>
        <w:rPr>
          <w:rFonts w:asciiTheme="majorHAnsi" w:hAnsiTheme="majorHAnsi" w:cstheme="majorHAnsi"/>
          <w:bCs/>
          <w:sz w:val="22"/>
        </w:rPr>
      </w:pPr>
      <w:r w:rsidRPr="004A6708">
        <w:rPr>
          <w:rFonts w:asciiTheme="majorHAnsi" w:hAnsiTheme="majorHAnsi" w:cstheme="majorHAnsi"/>
          <w:bCs/>
          <w:sz w:val="22"/>
        </w:rPr>
        <w:t xml:space="preserve">No. Standards 2.03 and 2.07 do not state that the 25% minimum is multiplied for each additional program option. The 25% administrative release is a minimum allocation for the PD and, separately, for the DCE, intended to support the full scope of each role across the base program and all applicable program options. Therefore, a base program that also has an ADT and a satellite location would not automatically require 75% release time for the PD or DCE; the minimum remains 25% for each position. However, 25% is a floor, not a ceiling. If the number, type, or complexity of program options creates additional administrative demands, the sponsor must provide enough workload release beyond the minimum as necessary for the PD and DCE to fulfill all assigned educational, administrative, leadership, and accreditation responsibilities. </w:t>
      </w:r>
      <w:r w:rsidR="007B705D" w:rsidRPr="004A6708">
        <w:rPr>
          <w:rFonts w:asciiTheme="majorHAnsi" w:hAnsiTheme="majorHAnsi" w:cstheme="majorHAnsi"/>
          <w:bCs/>
          <w:sz w:val="22"/>
        </w:rPr>
        <w:t xml:space="preserve"> </w:t>
      </w:r>
    </w:p>
    <w:p w14:paraId="2C9BC869" w14:textId="77777777" w:rsidR="00853EBD" w:rsidRPr="004A6708" w:rsidRDefault="00881025">
      <w:pPr>
        <w:pStyle w:val="FAQQuestion"/>
        <w:keepLines/>
        <w:rPr>
          <w:rFonts w:asciiTheme="majorHAnsi" w:hAnsiTheme="majorHAnsi" w:cstheme="majorHAnsi"/>
        </w:rPr>
      </w:pPr>
      <w:r w:rsidRPr="004A6708">
        <w:rPr>
          <w:rFonts w:asciiTheme="majorHAnsi" w:hAnsiTheme="majorHAnsi" w:cstheme="majorHAnsi"/>
        </w:rPr>
        <w:t>22. What is the purpose of the DCE's required 25% administrative release time?</w:t>
      </w:r>
    </w:p>
    <w:p w14:paraId="6F6423D5" w14:textId="77777777" w:rsidR="00853EBD" w:rsidRPr="004A6708" w:rsidRDefault="00881025" w:rsidP="004A6708">
      <w:pPr>
        <w:keepLines/>
        <w:jc w:val="both"/>
        <w:rPr>
          <w:rFonts w:asciiTheme="majorHAnsi" w:hAnsiTheme="majorHAnsi" w:cstheme="majorHAnsi"/>
        </w:rPr>
      </w:pPr>
      <w:r w:rsidRPr="004A6708">
        <w:rPr>
          <w:rFonts w:asciiTheme="majorHAnsi" w:hAnsiTheme="majorHAnsi" w:cstheme="majorHAnsi"/>
        </w:rPr>
        <w:t>The 25% administrative release is intended to recognize and protect time for the DCE's administrative leadership responsibilities for the clinical education program. It is not intended to encompass every activity that occurs in a clinical setting. The release should provide the DCE with sufficient time to manage, coordinate, evaluate, and continuously improve the clinical education component.</w:t>
      </w:r>
    </w:p>
    <w:p w14:paraId="6FBF8B5A" w14:textId="77777777" w:rsidR="00853EBD" w:rsidRPr="004A6708" w:rsidRDefault="00881025">
      <w:pPr>
        <w:pStyle w:val="FAQQuestion"/>
        <w:keepLines/>
        <w:rPr>
          <w:rFonts w:asciiTheme="majorHAnsi" w:hAnsiTheme="majorHAnsi" w:cstheme="majorHAnsi"/>
          <w:sz w:val="24"/>
          <w:szCs w:val="24"/>
        </w:rPr>
      </w:pPr>
      <w:r w:rsidRPr="004A6708">
        <w:rPr>
          <w:rFonts w:asciiTheme="majorHAnsi" w:hAnsiTheme="majorHAnsi" w:cstheme="majorHAnsi"/>
          <w:sz w:val="24"/>
          <w:szCs w:val="24"/>
        </w:rPr>
        <w:t>23. What DCE clinical education responsibilities are considered administrative functions?</w:t>
      </w:r>
    </w:p>
    <w:p w14:paraId="2251E7F8" w14:textId="77777777" w:rsidR="00853EBD" w:rsidRPr="004A6708" w:rsidRDefault="00881025" w:rsidP="00966947">
      <w:pPr>
        <w:keepLines/>
        <w:jc w:val="both"/>
        <w:rPr>
          <w:rFonts w:asciiTheme="majorHAnsi" w:hAnsiTheme="majorHAnsi" w:cstheme="majorHAnsi"/>
          <w:sz w:val="22"/>
          <w:szCs w:val="24"/>
        </w:rPr>
      </w:pPr>
      <w:r w:rsidRPr="004A6708">
        <w:rPr>
          <w:rFonts w:asciiTheme="majorHAnsi" w:hAnsiTheme="majorHAnsi" w:cstheme="majorHAnsi"/>
          <w:sz w:val="22"/>
          <w:szCs w:val="24"/>
        </w:rPr>
        <w:t>Administrative functions may include organization, development, and administration of the clinical curriculum; development and maintenance of clinical sites; management of affiliation agreements; communication with clinical affiliates; recruitment, orientation, and ongoing support of clinical instructors and preceptors; scheduling and coordination of clinical experiences; oversight of student supervision and assessment; clinical site evaluations; assessment of the effectiveness of the clinical education program; and accreditation activities related to clinical education and program assessment.</w:t>
      </w:r>
    </w:p>
    <w:p w14:paraId="3B3CDAB4" w14:textId="77777777" w:rsidR="00853EBD" w:rsidRPr="00966947" w:rsidRDefault="00881025" w:rsidP="00F96D9E">
      <w:pPr>
        <w:pStyle w:val="FAQQuestion"/>
        <w:keepLines/>
        <w:jc w:val="both"/>
        <w:rPr>
          <w:rFonts w:asciiTheme="majorHAnsi" w:hAnsiTheme="majorHAnsi" w:cstheme="majorHAnsi"/>
          <w:sz w:val="24"/>
          <w:szCs w:val="24"/>
        </w:rPr>
      </w:pPr>
      <w:r w:rsidRPr="00966947">
        <w:rPr>
          <w:rFonts w:asciiTheme="majorHAnsi" w:hAnsiTheme="majorHAnsi" w:cstheme="majorHAnsi"/>
          <w:sz w:val="24"/>
          <w:szCs w:val="24"/>
        </w:rPr>
        <w:t>24. Are all activities performed by the DCE in a clinical setting considered part of the 25% administrative release?</w:t>
      </w:r>
    </w:p>
    <w:p w14:paraId="289EFB6A" w14:textId="77777777" w:rsidR="00853EBD" w:rsidRPr="00F96D9E" w:rsidRDefault="00881025" w:rsidP="00F96D9E">
      <w:pPr>
        <w:keepLines/>
        <w:jc w:val="both"/>
        <w:rPr>
          <w:rFonts w:asciiTheme="majorHAnsi" w:hAnsiTheme="majorHAnsi" w:cstheme="majorHAnsi"/>
          <w:sz w:val="22"/>
          <w:szCs w:val="24"/>
        </w:rPr>
      </w:pPr>
      <w:r w:rsidRPr="00F96D9E">
        <w:rPr>
          <w:rFonts w:asciiTheme="majorHAnsi" w:hAnsiTheme="majorHAnsi" w:cstheme="majorHAnsi"/>
          <w:sz w:val="22"/>
          <w:szCs w:val="24"/>
        </w:rPr>
        <w:t>No. The setting in which an activity occurs does not determine whether it is administrative. Teaching remains teaching whether it occurs in a classroom, laboratory, simulation center, or clinical environment. The 25% release is intended for administrative management and oversight of the clinical education program, not for direct instructional responsibilities.</w:t>
      </w:r>
    </w:p>
    <w:p w14:paraId="761FEB0B" w14:textId="77777777" w:rsidR="00853EBD" w:rsidRPr="00F96D9E" w:rsidRDefault="00881025">
      <w:pPr>
        <w:pStyle w:val="FAQQuestion"/>
        <w:keepLines/>
        <w:rPr>
          <w:rFonts w:asciiTheme="majorHAnsi" w:hAnsiTheme="majorHAnsi" w:cstheme="majorHAnsi"/>
          <w:sz w:val="24"/>
          <w:szCs w:val="24"/>
        </w:rPr>
      </w:pPr>
      <w:r w:rsidRPr="00F96D9E">
        <w:rPr>
          <w:rFonts w:asciiTheme="majorHAnsi" w:hAnsiTheme="majorHAnsi" w:cstheme="majorHAnsi"/>
          <w:sz w:val="24"/>
          <w:szCs w:val="24"/>
        </w:rPr>
        <w:t>25. If the DCE is the instructor of record for a clinical course, can that teaching be counted toward the 25% administrative release?</w:t>
      </w:r>
    </w:p>
    <w:p w14:paraId="41890785" w14:textId="5A8ECC1F" w:rsidR="00853EBD" w:rsidRPr="00F96D9E" w:rsidRDefault="00881025" w:rsidP="00F96D9E">
      <w:pPr>
        <w:keepLines/>
        <w:jc w:val="both"/>
        <w:rPr>
          <w:rFonts w:asciiTheme="majorHAnsi" w:hAnsiTheme="majorHAnsi" w:cstheme="majorHAnsi"/>
          <w:sz w:val="22"/>
          <w:szCs w:val="24"/>
        </w:rPr>
      </w:pPr>
      <w:r w:rsidRPr="00F96D9E">
        <w:rPr>
          <w:rFonts w:asciiTheme="majorHAnsi" w:hAnsiTheme="majorHAnsi" w:cstheme="majorHAnsi"/>
          <w:sz w:val="22"/>
          <w:szCs w:val="24"/>
        </w:rPr>
        <w:t xml:space="preserve">No. Serving as the instructor of record, providing direct clinical instruction, or carrying the instructional responsibility for a clinical course is teaching. Those responsibilities should be recognized </w:t>
      </w:r>
      <w:r w:rsidR="00F96D9E">
        <w:rPr>
          <w:rFonts w:asciiTheme="majorHAnsi" w:hAnsiTheme="majorHAnsi" w:cstheme="majorHAnsi"/>
          <w:sz w:val="22"/>
          <w:szCs w:val="24"/>
        </w:rPr>
        <w:t>under the institution's normal faculty workload model and should not be counted toward</w:t>
      </w:r>
      <w:r w:rsidRPr="00F96D9E">
        <w:rPr>
          <w:rFonts w:asciiTheme="majorHAnsi" w:hAnsiTheme="majorHAnsi" w:cstheme="majorHAnsi"/>
          <w:sz w:val="22"/>
          <w:szCs w:val="24"/>
        </w:rPr>
        <w:t xml:space="preserve"> the required 25% administrative release.</w:t>
      </w:r>
    </w:p>
    <w:p w14:paraId="40F26357" w14:textId="77777777" w:rsidR="00853EBD" w:rsidRPr="00026E36" w:rsidRDefault="00881025">
      <w:pPr>
        <w:pStyle w:val="FAQQuestion"/>
        <w:keepLines/>
        <w:rPr>
          <w:rFonts w:asciiTheme="majorHAnsi" w:hAnsiTheme="majorHAnsi" w:cstheme="majorHAnsi"/>
          <w:sz w:val="24"/>
          <w:szCs w:val="24"/>
        </w:rPr>
      </w:pPr>
      <w:r w:rsidRPr="00026E36">
        <w:rPr>
          <w:rFonts w:asciiTheme="majorHAnsi" w:hAnsiTheme="majorHAnsi" w:cstheme="majorHAnsi"/>
          <w:sz w:val="24"/>
          <w:szCs w:val="24"/>
        </w:rPr>
        <w:lastRenderedPageBreak/>
        <w:t>26. How should direct student evaluation by the DCE be treated for workload purposes?</w:t>
      </w:r>
    </w:p>
    <w:p w14:paraId="2DD9DB45" w14:textId="77777777" w:rsidR="00853EBD" w:rsidRPr="00026E36" w:rsidRDefault="00881025" w:rsidP="00026E36">
      <w:pPr>
        <w:keepLines/>
        <w:jc w:val="both"/>
        <w:rPr>
          <w:rFonts w:asciiTheme="majorHAnsi" w:hAnsiTheme="majorHAnsi" w:cstheme="majorHAnsi"/>
          <w:sz w:val="22"/>
          <w:szCs w:val="24"/>
        </w:rPr>
      </w:pPr>
      <w:r w:rsidRPr="00026E36">
        <w:rPr>
          <w:rFonts w:asciiTheme="majorHAnsi" w:hAnsiTheme="majorHAnsi" w:cstheme="majorHAnsi"/>
          <w:sz w:val="22"/>
          <w:szCs w:val="24"/>
        </w:rPr>
        <w:t>When the DCE directly evaluates student performance as part of assigned teaching responsibilities, that activity is instructional workload. By contrast, administrative oversight of the clinical evaluation system - such as ensuring appropriate supervision, reviewing assessment processes, monitoring consistency across sites, and evaluating the effectiveness of clinical education - may be part of the DCE's administrative responsibilities.</w:t>
      </w:r>
    </w:p>
    <w:p w14:paraId="19BDB7AA" w14:textId="77777777" w:rsidR="00853EBD" w:rsidRPr="00E370ED" w:rsidRDefault="00881025" w:rsidP="00E370ED">
      <w:pPr>
        <w:pStyle w:val="FAQQuestion"/>
        <w:keepLines/>
        <w:jc w:val="both"/>
        <w:rPr>
          <w:rFonts w:asciiTheme="majorHAnsi" w:hAnsiTheme="majorHAnsi" w:cstheme="majorHAnsi"/>
          <w:sz w:val="24"/>
          <w:szCs w:val="24"/>
        </w:rPr>
      </w:pPr>
      <w:r w:rsidRPr="00E370ED">
        <w:rPr>
          <w:rFonts w:asciiTheme="majorHAnsi" w:hAnsiTheme="majorHAnsi" w:cstheme="majorHAnsi"/>
          <w:sz w:val="24"/>
          <w:szCs w:val="24"/>
        </w:rPr>
        <w:t>27. Can laboratory or simulation instruction performed by the DCE count toward the 25% administrative release?</w:t>
      </w:r>
    </w:p>
    <w:p w14:paraId="1E3BC72E" w14:textId="1AAB2B93" w:rsidR="00853EBD" w:rsidRPr="00E370ED" w:rsidRDefault="00881025" w:rsidP="00E370ED">
      <w:pPr>
        <w:keepLines/>
        <w:jc w:val="both"/>
        <w:rPr>
          <w:rFonts w:asciiTheme="majorHAnsi" w:hAnsiTheme="majorHAnsi" w:cstheme="majorHAnsi"/>
          <w:sz w:val="22"/>
          <w:szCs w:val="24"/>
        </w:rPr>
      </w:pPr>
      <w:r w:rsidRPr="00E370ED">
        <w:rPr>
          <w:rFonts w:asciiTheme="majorHAnsi" w:hAnsiTheme="majorHAnsi" w:cstheme="majorHAnsi"/>
          <w:sz w:val="22"/>
          <w:szCs w:val="24"/>
        </w:rPr>
        <w:t xml:space="preserve">No. Direct laboratory or simulation instruction is a teaching responsibility. The Standards distinguish teaching-related activities from administrative release time. Laboratory, simulation, classroom, and clinical teaching should be assigned workload credit </w:t>
      </w:r>
      <w:r w:rsidR="00E370ED">
        <w:rPr>
          <w:rFonts w:asciiTheme="majorHAnsi" w:hAnsiTheme="majorHAnsi" w:cstheme="majorHAnsi"/>
          <w:sz w:val="22"/>
          <w:szCs w:val="24"/>
        </w:rPr>
        <w:t xml:space="preserve">in accordance with the sponsor's normal faculty workload model rather than be </w:t>
      </w:r>
      <w:r w:rsidRPr="00E370ED">
        <w:rPr>
          <w:rFonts w:asciiTheme="majorHAnsi" w:hAnsiTheme="majorHAnsi" w:cstheme="majorHAnsi"/>
          <w:sz w:val="22"/>
          <w:szCs w:val="24"/>
        </w:rPr>
        <w:t>included in the required 25% administrative release.</w:t>
      </w:r>
    </w:p>
    <w:p w14:paraId="7655020E" w14:textId="77777777" w:rsidR="00853EBD" w:rsidRPr="0050702F" w:rsidRDefault="00881025">
      <w:pPr>
        <w:pStyle w:val="FAQQuestion"/>
        <w:keepLines/>
        <w:rPr>
          <w:rFonts w:asciiTheme="majorHAnsi" w:hAnsiTheme="majorHAnsi" w:cstheme="majorHAnsi"/>
          <w:sz w:val="24"/>
          <w:szCs w:val="24"/>
        </w:rPr>
      </w:pPr>
      <w:r w:rsidRPr="0050702F">
        <w:rPr>
          <w:rFonts w:asciiTheme="majorHAnsi" w:hAnsiTheme="majorHAnsi" w:cstheme="majorHAnsi"/>
          <w:sz w:val="24"/>
          <w:szCs w:val="24"/>
        </w:rPr>
        <w:t>28. Is the DCE's 25% administrative release in addition to workload credit for teaching assignments?</w:t>
      </w:r>
    </w:p>
    <w:p w14:paraId="363CC4D4" w14:textId="77777777" w:rsidR="00853EBD" w:rsidRPr="00AB5282" w:rsidRDefault="00881025" w:rsidP="00AB5282">
      <w:pPr>
        <w:keepLines/>
        <w:jc w:val="both"/>
        <w:rPr>
          <w:rFonts w:asciiTheme="majorHAnsi" w:hAnsiTheme="majorHAnsi" w:cstheme="majorHAnsi"/>
          <w:sz w:val="22"/>
          <w:szCs w:val="24"/>
        </w:rPr>
      </w:pPr>
      <w:r w:rsidRPr="00AB5282">
        <w:rPr>
          <w:rFonts w:asciiTheme="majorHAnsi" w:hAnsiTheme="majorHAnsi" w:cstheme="majorHAnsi"/>
          <w:sz w:val="22"/>
          <w:szCs w:val="24"/>
        </w:rPr>
        <w:t>Yes. The 25% administrative release represents a documented reduction from the sponsor's standard full-time workload so the DCE has protected time for administrative leadership of clinical education. If the DCE also teaches clinical, classroom, laboratory, or simulation courses, those instructional responsibilities should be separately recognized within the institution's faculty workload model. The administrative release should not be consumed by teaching assignments.</w:t>
      </w:r>
    </w:p>
    <w:p w14:paraId="5457C8AA" w14:textId="77777777" w:rsidR="00853EBD" w:rsidRPr="00AB5282" w:rsidRDefault="00881025" w:rsidP="00AB5282">
      <w:pPr>
        <w:pStyle w:val="FAQQuestion"/>
        <w:keepLines/>
        <w:jc w:val="both"/>
        <w:rPr>
          <w:rFonts w:asciiTheme="majorHAnsi" w:hAnsiTheme="majorHAnsi" w:cstheme="majorHAnsi"/>
          <w:sz w:val="24"/>
          <w:szCs w:val="24"/>
        </w:rPr>
      </w:pPr>
      <w:r w:rsidRPr="00AB5282">
        <w:rPr>
          <w:rFonts w:asciiTheme="majorHAnsi" w:hAnsiTheme="majorHAnsi" w:cstheme="majorHAnsi"/>
          <w:sz w:val="24"/>
          <w:szCs w:val="24"/>
        </w:rPr>
        <w:t>29. What should the sponsor document when the DCE has both administrative and teaching responsibilities?</w:t>
      </w:r>
    </w:p>
    <w:p w14:paraId="46B9FED2" w14:textId="77777777" w:rsidR="00853EBD" w:rsidRPr="00AB5282" w:rsidRDefault="00881025" w:rsidP="00AB5282">
      <w:pPr>
        <w:keepLines/>
        <w:jc w:val="both"/>
        <w:rPr>
          <w:rFonts w:asciiTheme="majorHAnsi" w:hAnsiTheme="majorHAnsi" w:cstheme="majorHAnsi"/>
          <w:sz w:val="22"/>
          <w:szCs w:val="24"/>
        </w:rPr>
      </w:pPr>
      <w:r w:rsidRPr="00AB5282">
        <w:rPr>
          <w:rFonts w:asciiTheme="majorHAnsi" w:hAnsiTheme="majorHAnsi" w:cstheme="majorHAnsi"/>
          <w:sz w:val="22"/>
          <w:szCs w:val="24"/>
        </w:rPr>
        <w:t>The sponsor should be able to demonstrate two things: first, that the DCE receives at least a 25% documented reduction from the standard full-time workload for administrative responsibilities; and second, that the DCE's teaching responsibilities are appropriately recognized under the institution's faculty workload model. CoARC does not prescribe whether the institution uses credit hours, workload units, percentages, hours, or another model, but the documentation should clearly distinguish administrative release from instructional workload.</w:t>
      </w:r>
    </w:p>
    <w:sectPr w:rsidR="00853EBD" w:rsidRPr="00AB5282" w:rsidSect="00B36A53">
      <w:headerReference w:type="default" r:id="rId8"/>
      <w:footerReference w:type="default" r:id="rId9"/>
      <w:pgSz w:w="12240" w:h="15840"/>
      <w:pgMar w:top="936" w:right="1037" w:bottom="936" w:left="1037" w:header="450" w:footer="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290DA" w14:textId="77777777" w:rsidR="00DA4CAC" w:rsidRDefault="00DA4CAC">
      <w:pPr>
        <w:spacing w:after="0" w:line="240" w:lineRule="auto"/>
      </w:pPr>
      <w:r>
        <w:separator/>
      </w:r>
    </w:p>
  </w:endnote>
  <w:endnote w:type="continuationSeparator" w:id="0">
    <w:p w14:paraId="650CEB59" w14:textId="77777777" w:rsidR="00DA4CAC" w:rsidRDefault="00DA4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ondi">
    <w:altName w:val="Copperplate Gothic Bold"/>
    <w:charset w:val="00"/>
    <w:family w:val="auto"/>
    <w:pitch w:val="variable"/>
    <w:sig w:usb0="00000003" w:usb1="00000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95DB" w14:textId="09A6581F" w:rsidR="00505342" w:rsidRPr="00505342" w:rsidRDefault="00505342">
    <w:pPr>
      <w:pStyle w:val="Footer"/>
      <w:jc w:val="center"/>
      <w:rPr>
        <w:color w:val="4F81BD" w:themeColor="accent1"/>
        <w:sz w:val="16"/>
        <w:szCs w:val="16"/>
      </w:rPr>
    </w:pPr>
    <w:r w:rsidRPr="00505342">
      <w:rPr>
        <w:sz w:val="16"/>
        <w:szCs w:val="16"/>
      </w:rPr>
      <w:t>CoARC Standards 2.03 and 2</w:t>
    </w:r>
    <w:r w:rsidRPr="00B36A53">
      <w:rPr>
        <w:sz w:val="16"/>
        <w:szCs w:val="16"/>
      </w:rPr>
      <w:t xml:space="preserve">.07 FAQ  </w:t>
    </w:r>
    <w:proofErr w:type="spellStart"/>
    <w:r w:rsidR="00B36A53" w:rsidRPr="00B36A53">
      <w:rPr>
        <w:sz w:val="16"/>
        <w:szCs w:val="16"/>
      </w:rPr>
      <w:t>ver</w:t>
    </w:r>
    <w:proofErr w:type="spellEnd"/>
    <w:r w:rsidR="00B36A53" w:rsidRPr="00B36A53">
      <w:rPr>
        <w:sz w:val="16"/>
        <w:szCs w:val="16"/>
      </w:rPr>
      <w:t xml:space="preserve"> 080726</w:t>
    </w:r>
    <w:r w:rsidRPr="00B36A53">
      <w:rPr>
        <w:sz w:val="16"/>
        <w:szCs w:val="16"/>
      </w:rPr>
      <w:t xml:space="preserve">          </w:t>
    </w:r>
    <w:r>
      <w:rPr>
        <w:color w:val="787878"/>
        <w:sz w:val="16"/>
        <w:szCs w:val="16"/>
      </w:rPr>
      <w:t xml:space="preserve">                                                                                                                                                                          </w:t>
    </w:r>
    <w:r w:rsidRPr="00505342">
      <w:rPr>
        <w:sz w:val="16"/>
        <w:szCs w:val="16"/>
      </w:rPr>
      <w:t xml:space="preserve">Page </w:t>
    </w:r>
    <w:r w:rsidRPr="00505342">
      <w:rPr>
        <w:sz w:val="16"/>
        <w:szCs w:val="16"/>
      </w:rPr>
      <w:fldChar w:fldCharType="begin"/>
    </w:r>
    <w:r w:rsidRPr="00505342">
      <w:rPr>
        <w:sz w:val="16"/>
        <w:szCs w:val="16"/>
      </w:rPr>
      <w:instrText xml:space="preserve"> PAGE  \* Arabic  \* MERGEFORMAT </w:instrText>
    </w:r>
    <w:r w:rsidRPr="00505342">
      <w:rPr>
        <w:sz w:val="16"/>
        <w:szCs w:val="16"/>
      </w:rPr>
      <w:fldChar w:fldCharType="separate"/>
    </w:r>
    <w:r w:rsidRPr="00505342">
      <w:rPr>
        <w:noProof/>
        <w:sz w:val="16"/>
        <w:szCs w:val="16"/>
      </w:rPr>
      <w:t>2</w:t>
    </w:r>
    <w:r w:rsidRPr="00505342">
      <w:rPr>
        <w:sz w:val="16"/>
        <w:szCs w:val="16"/>
      </w:rPr>
      <w:fldChar w:fldCharType="end"/>
    </w:r>
    <w:r w:rsidRPr="00505342">
      <w:rPr>
        <w:sz w:val="16"/>
        <w:szCs w:val="16"/>
      </w:rPr>
      <w:t xml:space="preserve"> of </w:t>
    </w:r>
    <w:r w:rsidRPr="00505342">
      <w:rPr>
        <w:sz w:val="16"/>
        <w:szCs w:val="16"/>
      </w:rPr>
      <w:fldChar w:fldCharType="begin"/>
    </w:r>
    <w:r w:rsidRPr="00505342">
      <w:rPr>
        <w:sz w:val="16"/>
        <w:szCs w:val="16"/>
      </w:rPr>
      <w:instrText xml:space="preserve"> NUMPAGES  \* Arabic  \* MERGEFORMAT </w:instrText>
    </w:r>
    <w:r w:rsidRPr="00505342">
      <w:rPr>
        <w:sz w:val="16"/>
        <w:szCs w:val="16"/>
      </w:rPr>
      <w:fldChar w:fldCharType="separate"/>
    </w:r>
    <w:r w:rsidRPr="00505342">
      <w:rPr>
        <w:noProof/>
        <w:sz w:val="16"/>
        <w:szCs w:val="16"/>
      </w:rPr>
      <w:t>2</w:t>
    </w:r>
    <w:r w:rsidRPr="00505342">
      <w:rPr>
        <w:sz w:val="16"/>
        <w:szCs w:val="16"/>
      </w:rPr>
      <w:fldChar w:fldCharType="end"/>
    </w:r>
  </w:p>
  <w:p w14:paraId="103BFB92" w14:textId="4FBDBD72" w:rsidR="00252AC1" w:rsidRDefault="00252AC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B5544" w14:textId="77777777" w:rsidR="00DA4CAC" w:rsidRDefault="00DA4CAC">
      <w:pPr>
        <w:spacing w:after="0" w:line="240" w:lineRule="auto"/>
      </w:pPr>
      <w:r>
        <w:separator/>
      </w:r>
    </w:p>
  </w:footnote>
  <w:footnote w:type="continuationSeparator" w:id="0">
    <w:p w14:paraId="29A44024" w14:textId="77777777" w:rsidR="00DA4CAC" w:rsidRDefault="00DA4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BA72" w14:textId="77777777" w:rsidR="002E67D4" w:rsidRDefault="002E67D4" w:rsidP="002E67D4">
    <w:pPr>
      <w:pStyle w:val="Header"/>
      <w:jc w:val="center"/>
    </w:pPr>
    <w:r>
      <w:rPr>
        <w:noProof/>
      </w:rPr>
      <w:drawing>
        <wp:anchor distT="0" distB="0" distL="114300" distR="114300" simplePos="0" relativeHeight="251658752" behindDoc="1" locked="0" layoutInCell="1" allowOverlap="1" wp14:anchorId="1B8EE5C0" wp14:editId="5410BE15">
          <wp:simplePos x="0" y="0"/>
          <wp:positionH relativeFrom="column">
            <wp:posOffset>-171450</wp:posOffset>
          </wp:positionH>
          <wp:positionV relativeFrom="paragraph">
            <wp:posOffset>-84455</wp:posOffset>
          </wp:positionV>
          <wp:extent cx="2057400" cy="608965"/>
          <wp:effectExtent l="0" t="0" r="0" b="635"/>
          <wp:wrapThrough wrapText="bothSides">
            <wp:wrapPolygon edited="0">
              <wp:start x="0" y="0"/>
              <wp:lineTo x="0" y="20947"/>
              <wp:lineTo x="21400" y="20947"/>
              <wp:lineTo x="21400" y="0"/>
              <wp:lineTo x="0" y="0"/>
            </wp:wrapPolygon>
          </wp:wrapThrough>
          <wp:docPr id="591744392" name="Picture 591744392" descr="coarc logo option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arc logo option 3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08965"/>
                  </a:xfrm>
                  <a:prstGeom prst="rect">
                    <a:avLst/>
                  </a:prstGeom>
                  <a:noFill/>
                </pic:spPr>
              </pic:pic>
            </a:graphicData>
          </a:graphic>
          <wp14:sizeRelH relativeFrom="page">
            <wp14:pctWidth>0</wp14:pctWidth>
          </wp14:sizeRelH>
          <wp14:sizeRelV relativeFrom="page">
            <wp14:pctHeight>0</wp14:pctHeight>
          </wp14:sizeRelV>
        </wp:anchor>
      </w:drawing>
    </w:r>
  </w:p>
  <w:p w14:paraId="4EEAAA2A" w14:textId="77777777" w:rsidR="002E67D4" w:rsidRPr="00FD5532" w:rsidRDefault="002E67D4" w:rsidP="002E67D4">
    <w:pPr>
      <w:pStyle w:val="Header"/>
      <w:ind w:left="3330" w:hanging="900"/>
      <w:jc w:val="center"/>
      <w:rPr>
        <w:rFonts w:ascii="Biondi" w:hAnsi="Biondi" w:cs="Arial"/>
        <w:color w:val="5F497A" w:themeColor="accent4" w:themeShade="BF"/>
        <w:sz w:val="28"/>
        <w:szCs w:val="28"/>
      </w:rPr>
    </w:pPr>
    <w:r>
      <w:rPr>
        <w:rFonts w:ascii="Biondi" w:hAnsi="Biondi" w:cs="Arial"/>
        <w:color w:val="1F497D" w:themeColor="text2"/>
        <w:sz w:val="28"/>
        <w:szCs w:val="28"/>
      </w:rPr>
      <w:t xml:space="preserve">  </w:t>
    </w:r>
    <w:r w:rsidRPr="00FD5532">
      <w:rPr>
        <w:rFonts w:ascii="Biondi" w:hAnsi="Biondi" w:cs="Arial"/>
        <w:color w:val="5F497A" w:themeColor="accent4" w:themeShade="BF"/>
        <w:sz w:val="28"/>
        <w:szCs w:val="28"/>
      </w:rPr>
      <w:t>COMMISSION ON ACCREDITATION FOR RESPIRATORY CARE</w:t>
    </w:r>
  </w:p>
  <w:p w14:paraId="130FB0AA" w14:textId="77777777" w:rsidR="002E67D4" w:rsidRDefault="002E6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F9B0902"/>
    <w:multiLevelType w:val="multilevel"/>
    <w:tmpl w:val="86643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5C2A35"/>
    <w:multiLevelType w:val="multilevel"/>
    <w:tmpl w:val="C708F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FF0259"/>
    <w:multiLevelType w:val="multilevel"/>
    <w:tmpl w:val="9028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9572664">
    <w:abstractNumId w:val="8"/>
  </w:num>
  <w:num w:numId="2" w16cid:durableId="1916355183">
    <w:abstractNumId w:val="6"/>
  </w:num>
  <w:num w:numId="3" w16cid:durableId="1421680622">
    <w:abstractNumId w:val="5"/>
  </w:num>
  <w:num w:numId="4" w16cid:durableId="213009305">
    <w:abstractNumId w:val="4"/>
  </w:num>
  <w:num w:numId="5" w16cid:durableId="1681619910">
    <w:abstractNumId w:val="7"/>
  </w:num>
  <w:num w:numId="6" w16cid:durableId="231082592">
    <w:abstractNumId w:val="3"/>
  </w:num>
  <w:num w:numId="7" w16cid:durableId="358314052">
    <w:abstractNumId w:val="2"/>
  </w:num>
  <w:num w:numId="8" w16cid:durableId="877085433">
    <w:abstractNumId w:val="1"/>
  </w:num>
  <w:num w:numId="9" w16cid:durableId="1007710996">
    <w:abstractNumId w:val="0"/>
  </w:num>
  <w:num w:numId="10" w16cid:durableId="1539777132">
    <w:abstractNumId w:val="11"/>
  </w:num>
  <w:num w:numId="11" w16cid:durableId="1988899231">
    <w:abstractNumId w:val="9"/>
  </w:num>
  <w:num w:numId="12" w16cid:durableId="1247837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DD1"/>
    <w:rsid w:val="00026E36"/>
    <w:rsid w:val="00034616"/>
    <w:rsid w:val="0006063C"/>
    <w:rsid w:val="00104C92"/>
    <w:rsid w:val="0015074B"/>
    <w:rsid w:val="001B0806"/>
    <w:rsid w:val="00252AC1"/>
    <w:rsid w:val="00281A2C"/>
    <w:rsid w:val="0029639D"/>
    <w:rsid w:val="002C7E2F"/>
    <w:rsid w:val="002E67D4"/>
    <w:rsid w:val="00326F90"/>
    <w:rsid w:val="00497E73"/>
    <w:rsid w:val="004A6708"/>
    <w:rsid w:val="00505342"/>
    <w:rsid w:val="0050702F"/>
    <w:rsid w:val="005D2C52"/>
    <w:rsid w:val="005E6E69"/>
    <w:rsid w:val="006019FF"/>
    <w:rsid w:val="006C4FD0"/>
    <w:rsid w:val="007B705D"/>
    <w:rsid w:val="00853EBD"/>
    <w:rsid w:val="00881025"/>
    <w:rsid w:val="008D16F5"/>
    <w:rsid w:val="008F5DF2"/>
    <w:rsid w:val="00907160"/>
    <w:rsid w:val="00966947"/>
    <w:rsid w:val="00981D8D"/>
    <w:rsid w:val="00A50AB4"/>
    <w:rsid w:val="00A96E0B"/>
    <w:rsid w:val="00AA1D8D"/>
    <w:rsid w:val="00AB5282"/>
    <w:rsid w:val="00B36A53"/>
    <w:rsid w:val="00B47730"/>
    <w:rsid w:val="00B6432D"/>
    <w:rsid w:val="00BA7324"/>
    <w:rsid w:val="00C95C1D"/>
    <w:rsid w:val="00CB0664"/>
    <w:rsid w:val="00D112BE"/>
    <w:rsid w:val="00D93F4E"/>
    <w:rsid w:val="00DA4CAC"/>
    <w:rsid w:val="00DD7E93"/>
    <w:rsid w:val="00E16F3E"/>
    <w:rsid w:val="00E370ED"/>
    <w:rsid w:val="00F32E92"/>
    <w:rsid w:val="00F551D6"/>
    <w:rsid w:val="00F96D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1D19F9C1-A014-4474-BB08-0B522ECD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F4E78"/>
      <w:sz w:val="32"/>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1F4E78"/>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F4E7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5B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AQQuestion">
    <w:name w:val="FAQ Question"/>
    <w:pPr>
      <w:keepNext/>
      <w:spacing w:before="180" w:after="60"/>
    </w:pPr>
    <w:rPr>
      <w:rFonts w:ascii="Aptos" w:hAnsi="Aptos"/>
      <w:b/>
      <w:color w:val="1F4E78"/>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2214</Words>
  <Characters>12623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Bonnie Marrs</cp:lastModifiedBy>
  <cp:revision>2</cp:revision>
  <dcterms:created xsi:type="dcterms:W3CDTF">2026-08-19T15:16:00Z</dcterms:created>
  <dcterms:modified xsi:type="dcterms:W3CDTF">2026-08-19T15:16:00Z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e62eba10-95c9-41a5-9590-95c417ca96b8</vt:lpwstr>
  </property>
</Properties>
</file>